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46" w:rsidRPr="00810820" w:rsidRDefault="001D7646" w:rsidP="001D7646">
      <w:pPr>
        <w:ind w:left="5812"/>
        <w:rPr>
          <w:rFonts w:eastAsia="Times New Roman" w:cs="Times New Roman"/>
          <w:i/>
          <w:color w:val="auto"/>
          <w:sz w:val="20"/>
          <w:szCs w:val="20"/>
        </w:rPr>
      </w:pPr>
      <w:r w:rsidRPr="00810820">
        <w:rPr>
          <w:rFonts w:eastAsia="Times New Roman" w:cs="Times New Roman"/>
          <w:i/>
          <w:color w:val="auto"/>
          <w:sz w:val="20"/>
          <w:szCs w:val="20"/>
        </w:rPr>
        <w:t>Załącznik nr 4 do zarządzenia nr 2/2020</w:t>
      </w:r>
    </w:p>
    <w:p w:rsidR="00B1512B" w:rsidRPr="00810820" w:rsidRDefault="00B1512B" w:rsidP="001D7646">
      <w:pPr>
        <w:jc w:val="center"/>
        <w:rPr>
          <w:b/>
          <w:bCs/>
          <w:color w:val="auto"/>
        </w:rPr>
      </w:pPr>
    </w:p>
    <w:p w:rsidR="00B1512B" w:rsidRPr="00810820" w:rsidRDefault="00B1512B" w:rsidP="00B1512B">
      <w:pPr>
        <w:jc w:val="center"/>
        <w:rPr>
          <w:b/>
          <w:bCs/>
          <w:color w:val="auto"/>
        </w:rPr>
      </w:pPr>
      <w:r w:rsidRPr="00810820">
        <w:rPr>
          <w:b/>
          <w:bCs/>
          <w:color w:val="auto"/>
        </w:rPr>
        <w:t>KARTA PRZEDMIOTU</w:t>
      </w:r>
    </w:p>
    <w:tbl>
      <w:tblPr>
        <w:tblStyle w:val="TableNormal"/>
        <w:tblW w:w="98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37"/>
        <w:gridCol w:w="1301"/>
        <w:gridCol w:w="7063"/>
      </w:tblGrid>
      <w:tr w:rsidR="00810820" w:rsidRPr="00810820" w:rsidTr="004E3222">
        <w:trPr>
          <w:trHeight w:val="222"/>
        </w:trPr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0912-7LEK-C6.12</w:t>
            </w:r>
            <w:r w:rsidR="00B1512B" w:rsidRPr="00810820">
              <w:rPr>
                <w:color w:val="auto"/>
                <w:sz w:val="20"/>
                <w:szCs w:val="20"/>
              </w:rPr>
              <w:t>-N</w:t>
            </w:r>
          </w:p>
        </w:tc>
      </w:tr>
      <w:tr w:rsidR="00810820" w:rsidRPr="00810820" w:rsidTr="004E3222">
        <w:trPr>
          <w:trHeight w:val="222"/>
        </w:trPr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pStyle w:val="Nagwek1"/>
              <w:outlineLvl w:val="0"/>
              <w:rPr>
                <w:color w:val="auto"/>
              </w:rPr>
            </w:pPr>
            <w:r w:rsidRPr="00810820">
              <w:rPr>
                <w:rFonts w:eastAsia="Arial Unicode MS" w:cs="Arial Unicode MS"/>
                <w:color w:val="auto"/>
              </w:rPr>
              <w:t>Neurochirurgia</w:t>
            </w:r>
          </w:p>
        </w:tc>
      </w:tr>
      <w:tr w:rsidR="00B1512B" w:rsidRPr="00810820" w:rsidTr="004E3222">
        <w:trPr>
          <w:trHeight w:val="222"/>
        </w:trPr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pStyle w:val="Nagwek2"/>
              <w:outlineLvl w:val="1"/>
              <w:rPr>
                <w:color w:val="auto"/>
              </w:rPr>
            </w:pPr>
            <w:r w:rsidRPr="00810820">
              <w:rPr>
                <w:color w:val="auto"/>
              </w:rPr>
              <w:t>Neurosurgery</w:t>
            </w:r>
          </w:p>
        </w:tc>
      </w:tr>
    </w:tbl>
    <w:p w:rsidR="00B1512B" w:rsidRPr="00810820" w:rsidRDefault="00B1512B" w:rsidP="00B1512B">
      <w:pPr>
        <w:widowControl w:val="0"/>
        <w:jc w:val="center"/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rPr>
          <w:b/>
          <w:bCs/>
          <w:color w:val="auto"/>
          <w:sz w:val="18"/>
          <w:szCs w:val="18"/>
          <w:lang w:val="en-US"/>
        </w:rPr>
      </w:pPr>
    </w:p>
    <w:p w:rsidR="00B1512B" w:rsidRPr="00810820" w:rsidRDefault="00B1512B" w:rsidP="00B1512B">
      <w:pPr>
        <w:numPr>
          <w:ilvl w:val="0"/>
          <w:numId w:val="2"/>
        </w:numPr>
        <w:rPr>
          <w:b/>
          <w:bCs/>
          <w:color w:val="auto"/>
          <w:sz w:val="18"/>
          <w:szCs w:val="18"/>
          <w:lang w:val="en-US"/>
        </w:rPr>
      </w:pPr>
      <w:r w:rsidRPr="00810820">
        <w:rPr>
          <w:b/>
          <w:bCs/>
          <w:color w:val="auto"/>
          <w:sz w:val="18"/>
          <w:szCs w:val="18"/>
          <w:lang w:val="en-US"/>
        </w:rPr>
        <w:t>USYTUOWANIE PRZEDMIOTU W SYSTEMIE STUDI</w:t>
      </w:r>
      <w:r w:rsidRPr="00810820">
        <w:rPr>
          <w:b/>
          <w:bCs/>
          <w:color w:val="auto"/>
          <w:sz w:val="18"/>
          <w:szCs w:val="18"/>
        </w:rPr>
        <w:t>Ó</w:t>
      </w:r>
      <w:r w:rsidRPr="00810820">
        <w:rPr>
          <w:b/>
          <w:bCs/>
          <w:color w:val="auto"/>
          <w:sz w:val="18"/>
          <w:szCs w:val="18"/>
          <w:lang w:val="en-US"/>
        </w:rPr>
        <w:t>W</w:t>
      </w: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07"/>
        <w:gridCol w:w="5104"/>
      </w:tblGrid>
      <w:tr w:rsidR="00810820" w:rsidRPr="00810820" w:rsidTr="00590BBA">
        <w:trPr>
          <w:trHeight w:val="14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 xml:space="preserve">1.1. Kierunek </w:t>
            </w:r>
            <w:proofErr w:type="spellStart"/>
            <w:r w:rsidRPr="00810820">
              <w:rPr>
                <w:b/>
                <w:bCs/>
                <w:color w:val="auto"/>
                <w:sz w:val="20"/>
                <w:szCs w:val="20"/>
              </w:rPr>
              <w:t>studi</w:t>
            </w:r>
            <w:proofErr w:type="spellEnd"/>
            <w:r w:rsidRPr="00810820">
              <w:rPr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810820">
              <w:rPr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lekarski</w:t>
            </w:r>
          </w:p>
        </w:tc>
      </w:tr>
      <w:tr w:rsidR="00810820" w:rsidRPr="00810820" w:rsidTr="00590BBA">
        <w:trPr>
          <w:trHeight w:val="14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  <w:lang w:val="it-IT"/>
              </w:rPr>
              <w:t>1.2. Forma studi</w:t>
            </w:r>
            <w:r w:rsidRPr="00810820">
              <w:rPr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810820">
              <w:rPr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S</w:t>
            </w:r>
            <w:r w:rsidR="00B1512B" w:rsidRPr="00810820">
              <w:rPr>
                <w:color w:val="auto"/>
                <w:sz w:val="20"/>
                <w:szCs w:val="20"/>
              </w:rPr>
              <w:t>tacjonarne</w:t>
            </w:r>
            <w:r w:rsidRPr="00810820">
              <w:rPr>
                <w:color w:val="auto"/>
                <w:sz w:val="20"/>
                <w:szCs w:val="20"/>
              </w:rPr>
              <w:t>/ niestacjonarne</w:t>
            </w:r>
          </w:p>
        </w:tc>
      </w:tr>
      <w:tr w:rsidR="00810820" w:rsidRPr="00810820" w:rsidTr="00590BBA">
        <w:trPr>
          <w:trHeight w:val="14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 xml:space="preserve">1.3. Poziom </w:t>
            </w:r>
            <w:proofErr w:type="spellStart"/>
            <w:r w:rsidRPr="00810820">
              <w:rPr>
                <w:b/>
                <w:bCs/>
                <w:color w:val="auto"/>
                <w:sz w:val="20"/>
                <w:szCs w:val="20"/>
              </w:rPr>
              <w:t>studi</w:t>
            </w:r>
            <w:proofErr w:type="spellEnd"/>
            <w:r w:rsidRPr="00810820">
              <w:rPr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810820">
              <w:rPr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Jednolite studia magisterskie</w:t>
            </w:r>
          </w:p>
        </w:tc>
      </w:tr>
      <w:tr w:rsidR="00810820" w:rsidRPr="00810820" w:rsidTr="00590BBA">
        <w:trPr>
          <w:trHeight w:val="14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 xml:space="preserve">1.4. Profil </w:t>
            </w:r>
            <w:proofErr w:type="spellStart"/>
            <w:r w:rsidRPr="00810820">
              <w:rPr>
                <w:b/>
                <w:bCs/>
                <w:color w:val="auto"/>
                <w:sz w:val="20"/>
                <w:szCs w:val="20"/>
              </w:rPr>
              <w:t>studi</w:t>
            </w:r>
            <w:proofErr w:type="spellEnd"/>
            <w:r w:rsidRPr="00810820">
              <w:rPr>
                <w:b/>
                <w:bCs/>
                <w:color w:val="auto"/>
                <w:sz w:val="20"/>
                <w:szCs w:val="20"/>
                <w:lang w:val="es-ES_tradnl"/>
              </w:rPr>
              <w:t>ó</w:t>
            </w:r>
            <w:r w:rsidRPr="00810820">
              <w:rPr>
                <w:b/>
                <w:bCs/>
                <w:color w:val="auto"/>
                <w:sz w:val="20"/>
                <w:szCs w:val="20"/>
                <w:lang w:val="en-US"/>
              </w:rPr>
              <w:t>w</w:t>
            </w:r>
            <w:r w:rsidRPr="00810820">
              <w:rPr>
                <w:b/>
                <w:bCs/>
                <w:color w:val="auto"/>
                <w:sz w:val="20"/>
                <w:szCs w:val="20"/>
              </w:rPr>
              <w:t>*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3E09B9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ogólnoakademicki</w:t>
            </w:r>
          </w:p>
        </w:tc>
      </w:tr>
      <w:tr w:rsidR="00810820" w:rsidRPr="00810820" w:rsidTr="00590BBA">
        <w:trPr>
          <w:trHeight w:val="18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2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ind w:left="-391"/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 xml:space="preserve">1.5. Osoba przygotowująca kartę przedmiotu  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7774" w:rsidRPr="00810820" w:rsidRDefault="00E67774" w:rsidP="00590BBA">
            <w:p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Cs/>
                <w:color w:val="auto"/>
                <w:sz w:val="20"/>
                <w:szCs w:val="20"/>
              </w:rPr>
              <w:t>Lek. Zbigniew Wolszczak</w:t>
            </w:r>
          </w:p>
        </w:tc>
      </w:tr>
      <w:tr w:rsidR="00B1512B" w:rsidRPr="00810820" w:rsidTr="00590BBA">
        <w:trPr>
          <w:trHeight w:val="144"/>
        </w:trPr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1.6. Kontakt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590BB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zbigniew.wolszczak@ujk.edu.pl</w:t>
            </w:r>
          </w:p>
        </w:tc>
      </w:tr>
    </w:tbl>
    <w:p w:rsidR="00B1512B" w:rsidRPr="00810820" w:rsidRDefault="00B1512B" w:rsidP="00B1512B">
      <w:pPr>
        <w:widowControl w:val="0"/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numPr>
          <w:ilvl w:val="0"/>
          <w:numId w:val="3"/>
        </w:numPr>
        <w:rPr>
          <w:b/>
          <w:bCs/>
          <w:color w:val="auto"/>
          <w:sz w:val="18"/>
          <w:szCs w:val="18"/>
          <w:lang w:val="da-DK"/>
        </w:rPr>
      </w:pPr>
      <w:r w:rsidRPr="00810820">
        <w:rPr>
          <w:b/>
          <w:bCs/>
          <w:color w:val="auto"/>
          <w:sz w:val="18"/>
          <w:szCs w:val="18"/>
          <w:lang w:val="da-DK"/>
        </w:rPr>
        <w:t>OG</w:t>
      </w:r>
      <w:r w:rsidRPr="00810820">
        <w:rPr>
          <w:b/>
          <w:bCs/>
          <w:color w:val="auto"/>
          <w:sz w:val="18"/>
          <w:szCs w:val="18"/>
        </w:rPr>
        <w:t>ÓLNA CHARAKTERYSTYKA PRZEDMIOTU</w:t>
      </w: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102"/>
        <w:gridCol w:w="4509"/>
      </w:tblGrid>
      <w:tr w:rsidR="00810820" w:rsidRPr="00810820" w:rsidTr="00590BBA">
        <w:trPr>
          <w:trHeight w:val="14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Polski</w:t>
            </w:r>
          </w:p>
        </w:tc>
      </w:tr>
      <w:tr w:rsidR="00B1512B" w:rsidRPr="00810820" w:rsidTr="00590BBA">
        <w:trPr>
          <w:trHeight w:val="149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Anatomia, fizjologia, chirurgia</w:t>
            </w:r>
          </w:p>
        </w:tc>
      </w:tr>
    </w:tbl>
    <w:p w:rsidR="00B1512B" w:rsidRPr="00810820" w:rsidRDefault="00B1512B" w:rsidP="00B1512B">
      <w:pPr>
        <w:widowControl w:val="0"/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rPr>
          <w:b/>
          <w:bCs/>
          <w:color w:val="auto"/>
          <w:sz w:val="18"/>
          <w:szCs w:val="18"/>
        </w:rPr>
      </w:pPr>
    </w:p>
    <w:p w:rsidR="00B1512B" w:rsidRPr="00810820" w:rsidRDefault="001D7646" w:rsidP="00B1512B">
      <w:pPr>
        <w:numPr>
          <w:ilvl w:val="0"/>
          <w:numId w:val="4"/>
        </w:numPr>
        <w:rPr>
          <w:b/>
          <w:bCs/>
          <w:color w:val="auto"/>
          <w:sz w:val="18"/>
          <w:szCs w:val="18"/>
        </w:rPr>
      </w:pPr>
      <w:r w:rsidRPr="00810820">
        <w:rPr>
          <w:b/>
          <w:bCs/>
          <w:color w:val="auto"/>
          <w:sz w:val="18"/>
          <w:szCs w:val="18"/>
        </w:rPr>
        <w:t>SZCZEGÓŁOWA CHRAKTERYSTYKA PRZEDMIOTU</w:t>
      </w:r>
    </w:p>
    <w:tbl>
      <w:tblPr>
        <w:tblStyle w:val="TableNormal"/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80"/>
        <w:gridCol w:w="1709"/>
        <w:gridCol w:w="6322"/>
      </w:tblGrid>
      <w:tr w:rsidR="00810820" w:rsidRPr="00810820" w:rsidTr="00590BBA">
        <w:trPr>
          <w:trHeight w:val="222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1D7646">
            <w:pPr>
              <w:pStyle w:val="Akapitzlist"/>
              <w:numPr>
                <w:ilvl w:val="1"/>
                <w:numId w:val="14"/>
              </w:num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Forma</w:t>
            </w:r>
            <w:r w:rsidR="00B1512B" w:rsidRPr="00810820">
              <w:rPr>
                <w:b/>
                <w:bCs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1D7646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Cs/>
                <w:color w:val="auto"/>
                <w:sz w:val="20"/>
                <w:szCs w:val="20"/>
              </w:rPr>
              <w:t>Wykład (W), wyk. e-learning,</w:t>
            </w:r>
            <w:r w:rsidRPr="00810820">
              <w:rPr>
                <w:bCs/>
                <w:color w:val="auto"/>
                <w:sz w:val="20"/>
                <w:szCs w:val="20"/>
                <w:lang w:val="fr-FR"/>
              </w:rPr>
              <w:t xml:space="preserve"> ćwiczenia(C), ćwiczenia praktyczne (CP)</w:t>
            </w:r>
          </w:p>
        </w:tc>
      </w:tr>
      <w:tr w:rsidR="00810820" w:rsidRPr="00810820" w:rsidTr="00590BBA">
        <w:trPr>
          <w:trHeight w:val="442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1D7646">
            <w:pPr>
              <w:pStyle w:val="Akapitzlist"/>
              <w:numPr>
                <w:ilvl w:val="1"/>
                <w:numId w:val="14"/>
              </w:numPr>
              <w:rPr>
                <w:b/>
                <w:bCs/>
                <w:color w:val="auto"/>
                <w:sz w:val="20"/>
                <w:szCs w:val="20"/>
                <w:lang w:val="nl-NL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  <w:lang w:val="nl-NL"/>
              </w:rPr>
              <w:t>Miejsce zrealizacji zajeć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Wykład - Zajęcia w pomieszczeniach dydaktycznych UJK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Ćwiczenia praktyczne Oddział Neurochirurgii WSZ</w:t>
            </w:r>
            <w:r w:rsidR="001D7646" w:rsidRPr="00810820">
              <w:rPr>
                <w:color w:val="auto"/>
                <w:sz w:val="20"/>
                <w:szCs w:val="20"/>
              </w:rPr>
              <w:t>Z</w:t>
            </w:r>
            <w:r w:rsidRPr="00810820">
              <w:rPr>
                <w:color w:val="auto"/>
                <w:sz w:val="20"/>
                <w:szCs w:val="20"/>
              </w:rPr>
              <w:t xml:space="preserve"> Kielce</w:t>
            </w:r>
          </w:p>
        </w:tc>
      </w:tr>
      <w:tr w:rsidR="00810820" w:rsidRPr="00810820" w:rsidTr="00590BBA">
        <w:trPr>
          <w:trHeight w:val="222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590BBA">
            <w:pPr>
              <w:pStyle w:val="Akapitzlist"/>
              <w:numPr>
                <w:ilvl w:val="1"/>
                <w:numId w:val="14"/>
              </w:numPr>
              <w:rPr>
                <w:b/>
                <w:bCs/>
                <w:color w:val="auto"/>
                <w:sz w:val="20"/>
                <w:szCs w:val="20"/>
                <w:lang w:val="nl-NL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  <w:lang w:val="nl-NL"/>
              </w:rPr>
              <w:t>Forma zaliczenia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Cs/>
                <w:color w:val="auto"/>
                <w:sz w:val="20"/>
                <w:szCs w:val="20"/>
              </w:rPr>
              <w:t>wykład – egzamin</w:t>
            </w:r>
            <w:r w:rsidR="00B1512B" w:rsidRPr="00810820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810820">
              <w:rPr>
                <w:bCs/>
                <w:color w:val="auto"/>
                <w:sz w:val="20"/>
                <w:szCs w:val="20"/>
              </w:rPr>
              <w:t>wyk. e-learning – zaliczenie, ćwiczenia i ćw. praktyczne – zaliczenie z oceną</w:t>
            </w:r>
          </w:p>
        </w:tc>
      </w:tr>
      <w:tr w:rsidR="00810820" w:rsidRPr="00810820" w:rsidTr="00590BBA">
        <w:trPr>
          <w:trHeight w:val="414"/>
        </w:trPr>
        <w:tc>
          <w:tcPr>
            <w:tcW w:w="3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pStyle w:val="Akapitzlist"/>
              <w:numPr>
                <w:ilvl w:val="1"/>
                <w:numId w:val="14"/>
              </w:num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1D7646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Wykład:</w:t>
            </w:r>
            <w:r w:rsidR="00F30B4C" w:rsidRPr="00810820">
              <w:rPr>
                <w:color w:val="auto"/>
                <w:sz w:val="20"/>
                <w:szCs w:val="20"/>
              </w:rPr>
              <w:t xml:space="preserve"> wykład konwersatoryjny</w:t>
            </w:r>
          </w:p>
          <w:p w:rsidR="00F30B4C" w:rsidRPr="00810820" w:rsidRDefault="00F30B4C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Wykład e-learning: wykład informacyjny</w:t>
            </w:r>
          </w:p>
          <w:p w:rsidR="001D7646" w:rsidRPr="00810820" w:rsidRDefault="001D7646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Ćwiczenia:</w:t>
            </w:r>
            <w:r w:rsidR="00F30B4C" w:rsidRPr="00810820">
              <w:rPr>
                <w:color w:val="auto"/>
                <w:sz w:val="20"/>
                <w:szCs w:val="20"/>
              </w:rPr>
              <w:t xml:space="preserve"> seminarium, analiza przypadków</w:t>
            </w:r>
          </w:p>
          <w:p w:rsidR="001D7646" w:rsidRPr="00810820" w:rsidRDefault="001D7646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Ćwiczenia praktyczne:</w:t>
            </w:r>
            <w:r w:rsidR="00F30B4C" w:rsidRPr="00810820">
              <w:rPr>
                <w:color w:val="auto"/>
                <w:sz w:val="20"/>
                <w:szCs w:val="20"/>
              </w:rPr>
              <w:t xml:space="preserve"> ćwiczenia kliniczne</w:t>
            </w:r>
          </w:p>
        </w:tc>
      </w:tr>
      <w:tr w:rsidR="00810820" w:rsidRPr="00810820" w:rsidTr="00590BBA">
        <w:trPr>
          <w:trHeight w:val="662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590BBA">
            <w:pPr>
              <w:pStyle w:val="Akapitzlist"/>
              <w:numPr>
                <w:ilvl w:val="1"/>
                <w:numId w:val="14"/>
              </w:num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ind w:left="426" w:hanging="392"/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222" w:rsidRPr="00810820" w:rsidRDefault="004E3222" w:rsidP="004E3222">
            <w:pPr>
              <w:rPr>
                <w:color w:val="auto"/>
                <w:sz w:val="20"/>
                <w:szCs w:val="20"/>
                <w:lang w:val="en-US"/>
              </w:rPr>
            </w:pPr>
            <w:r w:rsidRPr="00810820">
              <w:rPr>
                <w:color w:val="auto"/>
                <w:sz w:val="20"/>
                <w:szCs w:val="20"/>
                <w:lang w:val="en-US"/>
              </w:rPr>
              <w:t xml:space="preserve">1.Neurologia </w:t>
            </w:r>
            <w:proofErr w:type="spellStart"/>
            <w:r w:rsidRPr="00810820">
              <w:rPr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81082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0820">
              <w:rPr>
                <w:color w:val="auto"/>
                <w:sz w:val="20"/>
                <w:szCs w:val="20"/>
                <w:lang w:val="en-US"/>
              </w:rPr>
              <w:t>Neurochirurgia</w:t>
            </w:r>
            <w:proofErr w:type="spellEnd"/>
            <w:r w:rsidRPr="00810820">
              <w:rPr>
                <w:color w:val="auto"/>
                <w:sz w:val="20"/>
                <w:szCs w:val="20"/>
                <w:lang w:val="en-US"/>
              </w:rPr>
              <w:t xml:space="preserve"> - Lindsay Kenneth W., Bone Ian, Fuller Geraint. Elsevier, </w:t>
            </w:r>
            <w:r w:rsidR="00AA6AA2" w:rsidRPr="00810820">
              <w:rPr>
                <w:color w:val="auto"/>
                <w:sz w:val="20"/>
                <w:szCs w:val="20"/>
                <w:lang w:val="en-US"/>
              </w:rPr>
              <w:t>2023</w:t>
            </w:r>
          </w:p>
          <w:p w:rsidR="004E3222" w:rsidRPr="00810820" w:rsidRDefault="004E3222" w:rsidP="004E3222">
            <w:pPr>
              <w:rPr>
                <w:color w:val="auto"/>
                <w:sz w:val="20"/>
                <w:szCs w:val="20"/>
                <w:lang w:val="en-US"/>
              </w:rPr>
            </w:pPr>
            <w:r w:rsidRPr="00810820">
              <w:rPr>
                <w:color w:val="auto"/>
                <w:sz w:val="20"/>
                <w:szCs w:val="20"/>
                <w:lang w:val="en-US"/>
              </w:rPr>
              <w:t xml:space="preserve">2. Handbook of Neurosurgery, By (author) Mark S. Greenberg </w:t>
            </w:r>
          </w:p>
          <w:p w:rsidR="00B1512B" w:rsidRPr="00810820" w:rsidRDefault="004E3222" w:rsidP="004E3222">
            <w:pPr>
              <w:rPr>
                <w:color w:val="auto"/>
                <w:sz w:val="20"/>
                <w:szCs w:val="20"/>
                <w:lang w:val="en-US"/>
              </w:rPr>
            </w:pPr>
            <w:r w:rsidRPr="00810820">
              <w:rPr>
                <w:color w:val="auto"/>
                <w:sz w:val="20"/>
                <w:szCs w:val="20"/>
                <w:lang w:val="en-US"/>
              </w:rPr>
              <w:t xml:space="preserve">Paperback, English Publisher; </w:t>
            </w:r>
            <w:proofErr w:type="spellStart"/>
            <w:r w:rsidRPr="00810820">
              <w:rPr>
                <w:color w:val="auto"/>
                <w:sz w:val="20"/>
                <w:szCs w:val="20"/>
                <w:lang w:val="en-US"/>
              </w:rPr>
              <w:t>Th</w:t>
            </w:r>
            <w:r w:rsidR="00AA6AA2" w:rsidRPr="00810820">
              <w:rPr>
                <w:color w:val="auto"/>
                <w:sz w:val="20"/>
                <w:szCs w:val="20"/>
                <w:lang w:val="en-US"/>
              </w:rPr>
              <w:t>ieme</w:t>
            </w:r>
            <w:proofErr w:type="spellEnd"/>
            <w:r w:rsidR="00AA6AA2" w:rsidRPr="00810820">
              <w:rPr>
                <w:color w:val="auto"/>
                <w:sz w:val="20"/>
                <w:szCs w:val="20"/>
                <w:lang w:val="en-US"/>
              </w:rPr>
              <w:t xml:space="preserve"> Medical Publishers </w:t>
            </w:r>
            <w:proofErr w:type="spellStart"/>
            <w:r w:rsidR="00AA6AA2" w:rsidRPr="00810820">
              <w:rPr>
                <w:color w:val="auto"/>
                <w:sz w:val="20"/>
                <w:szCs w:val="20"/>
                <w:lang w:val="en-US"/>
              </w:rPr>
              <w:t>Inc</w:t>
            </w:r>
            <w:proofErr w:type="spellEnd"/>
            <w:r w:rsidR="00AA6AA2" w:rsidRPr="00810820">
              <w:rPr>
                <w:color w:val="auto"/>
                <w:sz w:val="20"/>
                <w:szCs w:val="20"/>
                <w:lang w:val="en-US"/>
              </w:rPr>
              <w:t xml:space="preserve"> 2023</w:t>
            </w:r>
          </w:p>
        </w:tc>
      </w:tr>
      <w:tr w:rsidR="00B1512B" w:rsidRPr="00810820" w:rsidTr="00590BBA">
        <w:trPr>
          <w:trHeight w:val="882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12B" w:rsidRPr="00810820" w:rsidRDefault="00B1512B" w:rsidP="005B35A3">
            <w:pPr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06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ind w:left="426" w:hanging="392"/>
              <w:rPr>
                <w:color w:val="auto"/>
                <w:sz w:val="18"/>
                <w:szCs w:val="18"/>
              </w:rPr>
            </w:pPr>
            <w:r w:rsidRPr="00810820">
              <w:rPr>
                <w:b/>
                <w:bCs/>
                <w:color w:val="auto"/>
                <w:sz w:val="18"/>
                <w:szCs w:val="18"/>
              </w:rPr>
              <w:t>uzupełniająca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3222" w:rsidRPr="00810820" w:rsidRDefault="004E3222" w:rsidP="004E3222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1.Schorzenia i urazy kręgosłupa (okładka miękka) Opracowanie zbiorowe, redakcja Jerzy Kiwerski, PZWL Warszawa 2014</w:t>
            </w:r>
            <w:r w:rsidR="00AA6AA2" w:rsidRPr="00810820">
              <w:rPr>
                <w:color w:val="auto"/>
                <w:sz w:val="20"/>
                <w:szCs w:val="20"/>
              </w:rPr>
              <w:t xml:space="preserve"> (ostanie wyd.)</w:t>
            </w:r>
          </w:p>
          <w:p w:rsidR="00B1512B" w:rsidRPr="00810820" w:rsidRDefault="004E3222" w:rsidP="004E3222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2..Kieszonkowy atlas chirurgii kręgosłupa Kern Singh, Alexander R. </w:t>
            </w:r>
            <w:proofErr w:type="spellStart"/>
            <w:r w:rsidRPr="00810820">
              <w:rPr>
                <w:color w:val="auto"/>
                <w:sz w:val="20"/>
                <w:szCs w:val="20"/>
              </w:rPr>
              <w:t>Vaccaro</w:t>
            </w:r>
            <w:proofErr w:type="spellEnd"/>
            <w:r w:rsidRPr="00810820">
              <w:rPr>
                <w:color w:val="auto"/>
                <w:sz w:val="20"/>
                <w:szCs w:val="20"/>
              </w:rPr>
              <w:t xml:space="preserve"> red. wyd. pol. Krzysztof Kwiatkowski </w:t>
            </w:r>
            <w:proofErr w:type="spellStart"/>
            <w:r w:rsidRPr="00810820">
              <w:rPr>
                <w:color w:val="auto"/>
                <w:sz w:val="20"/>
                <w:szCs w:val="20"/>
              </w:rPr>
              <w:t>Medisfera</w:t>
            </w:r>
            <w:proofErr w:type="spellEnd"/>
            <w:r w:rsidRPr="00810820">
              <w:rPr>
                <w:color w:val="auto"/>
                <w:sz w:val="20"/>
                <w:szCs w:val="20"/>
              </w:rPr>
              <w:t xml:space="preserve"> Wydawnictwo Warszawa 2013</w:t>
            </w:r>
            <w:r w:rsidR="00AA6AA2" w:rsidRPr="00810820">
              <w:rPr>
                <w:color w:val="auto"/>
                <w:sz w:val="20"/>
                <w:szCs w:val="20"/>
              </w:rPr>
              <w:t xml:space="preserve"> (ostanie wyd.)</w:t>
            </w:r>
          </w:p>
        </w:tc>
      </w:tr>
    </w:tbl>
    <w:p w:rsidR="00B1512B" w:rsidRPr="00810820" w:rsidRDefault="00B1512B" w:rsidP="00B1512B">
      <w:pPr>
        <w:widowControl w:val="0"/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rPr>
          <w:b/>
          <w:bCs/>
          <w:color w:val="auto"/>
          <w:sz w:val="18"/>
          <w:szCs w:val="18"/>
        </w:rPr>
      </w:pPr>
    </w:p>
    <w:p w:rsidR="00B1512B" w:rsidRDefault="00B1512B" w:rsidP="00B1512B">
      <w:pPr>
        <w:rPr>
          <w:b/>
          <w:bCs/>
          <w:color w:val="auto"/>
          <w:sz w:val="18"/>
          <w:szCs w:val="18"/>
        </w:rPr>
      </w:pPr>
    </w:p>
    <w:p w:rsidR="005539D6" w:rsidRDefault="005539D6" w:rsidP="00B1512B">
      <w:pPr>
        <w:rPr>
          <w:b/>
          <w:bCs/>
          <w:color w:val="auto"/>
          <w:sz w:val="18"/>
          <w:szCs w:val="18"/>
        </w:rPr>
      </w:pPr>
    </w:p>
    <w:p w:rsidR="005539D6" w:rsidRPr="00810820" w:rsidRDefault="005539D6" w:rsidP="00B1512B">
      <w:pPr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pStyle w:val="Akapitzlist"/>
        <w:numPr>
          <w:ilvl w:val="0"/>
          <w:numId w:val="10"/>
        </w:numPr>
        <w:rPr>
          <w:b/>
          <w:bCs/>
          <w:color w:val="auto"/>
          <w:sz w:val="18"/>
          <w:szCs w:val="18"/>
          <w:lang w:val="de-DE"/>
        </w:rPr>
      </w:pPr>
      <w:r w:rsidRPr="00810820">
        <w:rPr>
          <w:b/>
          <w:bCs/>
          <w:color w:val="auto"/>
          <w:sz w:val="18"/>
          <w:szCs w:val="18"/>
          <w:lang w:val="de-DE"/>
        </w:rPr>
        <w:lastRenderedPageBreak/>
        <w:t>CELE, TRE</w:t>
      </w:r>
      <w:r w:rsidRPr="00810820">
        <w:rPr>
          <w:b/>
          <w:bCs/>
          <w:color w:val="auto"/>
          <w:sz w:val="18"/>
          <w:szCs w:val="18"/>
        </w:rPr>
        <w:t xml:space="preserve">ŚCI I EFEKTY UCZENIA SIĘ </w:t>
      </w:r>
    </w:p>
    <w:tbl>
      <w:tblPr>
        <w:tblStyle w:val="TableNormal"/>
        <w:tblW w:w="99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967"/>
      </w:tblGrid>
      <w:tr w:rsidR="00B1512B" w:rsidRPr="00810820" w:rsidTr="00590BBA">
        <w:trPr>
          <w:trHeight w:val="1762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6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ind w:left="356"/>
              <w:rPr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4.1. Cele przedmiotu</w:t>
            </w:r>
            <w:r w:rsidR="00590BBA" w:rsidRPr="0081082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C2591" w:rsidRPr="00810820">
              <w:rPr>
                <w:b/>
                <w:bCs/>
                <w:i/>
                <w:color w:val="auto"/>
                <w:sz w:val="20"/>
                <w:szCs w:val="20"/>
              </w:rPr>
              <w:t>(</w:t>
            </w:r>
            <w:r w:rsidR="00590BBA" w:rsidRPr="00810820">
              <w:rPr>
                <w:b/>
                <w:bCs/>
                <w:i/>
                <w:color w:val="auto"/>
                <w:sz w:val="20"/>
                <w:szCs w:val="20"/>
              </w:rPr>
              <w:t xml:space="preserve">z uwzględnieniem formy </w:t>
            </w:r>
            <w:r w:rsidR="005C2591" w:rsidRPr="00810820">
              <w:rPr>
                <w:b/>
                <w:bCs/>
                <w:i/>
                <w:color w:val="auto"/>
                <w:sz w:val="20"/>
                <w:szCs w:val="20"/>
              </w:rPr>
              <w:t>zajęć</w:t>
            </w:r>
            <w:r w:rsidR="00590BBA" w:rsidRPr="00810820">
              <w:rPr>
                <w:b/>
                <w:bCs/>
                <w:i/>
                <w:color w:val="auto"/>
                <w:sz w:val="20"/>
                <w:szCs w:val="20"/>
              </w:rPr>
              <w:t>)</w:t>
            </w:r>
          </w:p>
          <w:p w:rsidR="00C32DCD" w:rsidRPr="00C626A4" w:rsidRDefault="00C32DCD" w:rsidP="00C32DCD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i/>
                <w:color w:val="auto"/>
                <w:sz w:val="20"/>
                <w:szCs w:val="20"/>
              </w:rPr>
              <w:t>Wykłady, wykład e-learning: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C1. Przygotowanie studentów – przyszłych lekarzy – do zrozumienia współczesnych metod diagnostyki i leczenia w neurochirurgii klinicznej.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C2. Zapoznanie studentów z zasadami kierowania pacjenta na konsultacje neurochirurgiczne oraz przygotowania chorego do procedur diagnostycznych i terapeutycznych.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C3. Przekazanie wiedzy dotyczącej wskazań i przeciwwskazań do poszczególnych metod leczenia neurochirurgicznego, zarówno zachowawczego, jak i operacyjnego.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C4. Omówienie zasad oceny i interpretacji objawów klinicznych oraz wyników badań dodatkowych w kontekście chorób neurochirurgicznych.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C5. Przedstawienie studentom podstawowych zagadnień z zakresu neurochirurgii interwencyjnej i minimalnie inwazyjnych procedur chirurgicznych.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C6. Zapoznanie studentów z zasadami bezpieczeństwa pacjenta, ochrony personelu oraz etyki zawodowej w praktyce neurochirurgicznej.</w:t>
            </w:r>
          </w:p>
          <w:p w:rsidR="00C32DCD" w:rsidRDefault="00C32DCD" w:rsidP="00C32DCD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</w:p>
          <w:p w:rsidR="00C32DCD" w:rsidRPr="00C626A4" w:rsidRDefault="00C32DCD" w:rsidP="00C32DCD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 C1. Zapoznanie studentów z praktycznym przygotowaniem do badania i oceny klinicznej pacjenta neurochirurgicznego.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 C2. Nabycie umiejętności rozpoznawania chorób będących bezpośrednim zagrożeniem życia i planowania postępowania diagnostycznego.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 C3. Rozwijanie kompetencji w zakresie przygotowania pacjenta do leczenia zachowawczego i operacyjnego, z uwzględnieniem monitorowania stanu klinicznego.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 C4. Uwrażliwienie studentów na konieczność współpracy interdyscyplinarnej, konsultacji w innych oddziałach oraz organizowania neurochirurgicznego nadzoru nad szpitalami regionalnymi.</w:t>
            </w:r>
          </w:p>
          <w:p w:rsidR="00C32DCD" w:rsidRDefault="00C32DCD" w:rsidP="00C32DCD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</w:p>
          <w:p w:rsidR="00C32DCD" w:rsidRDefault="00C32DCD" w:rsidP="00C32DCD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i/>
                <w:color w:val="auto"/>
                <w:sz w:val="20"/>
                <w:szCs w:val="20"/>
              </w:rPr>
              <w:t>Ćwiczenia praktyczn</w:t>
            </w:r>
            <w:r>
              <w:rPr>
                <w:rFonts w:cs="Times New Roman"/>
                <w:b/>
                <w:i/>
                <w:color w:val="auto"/>
                <w:sz w:val="20"/>
                <w:szCs w:val="20"/>
              </w:rPr>
              <w:t>e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 C1. Doskonalenie umiejętności badania pacjenta chirurgicznego, prowadzenia dokumentacji medycznej oraz oceny stanu chorego w warunkach klinicznych.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C2. Opanowanie podstawowych technik chirurgicznych i zabiegowych w rzeczywistym środowisku pracy oddziału neurochirurgii.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C3. Przygotowanie do aktywnej asysty w typowych zabiegach neurochirurgicznych oraz opieki okołooperacyjnej, z uwzględnieniem zasad aseptyki, etyki i bezpieczeństwa pacjenta.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C4. Kształtowanie postawy odpowiedzialności zawodowej i świadomości konsekwencji podejmowanych decyzji diagnostycznych i terapeutycznych.</w:t>
            </w:r>
          </w:p>
          <w:p w:rsidR="00C32DCD" w:rsidRPr="00C626A4" w:rsidRDefault="00C32DCD" w:rsidP="00C32DCD">
            <w:pPr>
              <w:rPr>
                <w:rFonts w:cs="Times New Roman"/>
                <w:bCs/>
                <w:i/>
                <w:color w:val="auto"/>
                <w:sz w:val="20"/>
                <w:szCs w:val="20"/>
              </w:rPr>
            </w:pPr>
            <w:r w:rsidRPr="00C626A4">
              <w:rPr>
                <w:rFonts w:cs="Times New Roman"/>
                <w:bCs/>
                <w:i/>
                <w:color w:val="auto"/>
                <w:sz w:val="20"/>
                <w:szCs w:val="20"/>
              </w:rPr>
              <w:t>• C5. Wzmacnianie postawy etycznej i świadomości społecznej studentów w relacjach z pacjentami, z uwzględnieniem zasad komunikacji klinicznej i poszanowania godności chorego.</w:t>
            </w:r>
          </w:p>
          <w:p w:rsidR="005B35A3" w:rsidRPr="00810820" w:rsidRDefault="005B35A3" w:rsidP="00C32DCD">
            <w:pPr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B1512B" w:rsidRPr="00810820" w:rsidRDefault="00B1512B" w:rsidP="00B1512B">
      <w:pPr>
        <w:rPr>
          <w:color w:val="auto"/>
          <w:sz w:val="18"/>
          <w:szCs w:val="18"/>
        </w:rPr>
      </w:pPr>
    </w:p>
    <w:tbl>
      <w:tblPr>
        <w:tblStyle w:val="TableNormal"/>
        <w:tblW w:w="99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967"/>
      </w:tblGrid>
      <w:tr w:rsidR="00B1512B" w:rsidRPr="00810820" w:rsidTr="00590BBA">
        <w:trPr>
          <w:trHeight w:val="1904"/>
        </w:trPr>
        <w:tc>
          <w:tcPr>
            <w:tcW w:w="9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36" w:type="dxa"/>
              <w:bottom w:w="80" w:type="dxa"/>
              <w:right w:w="80" w:type="dxa"/>
            </w:tcMar>
          </w:tcPr>
          <w:p w:rsidR="00B1512B" w:rsidRPr="00810820" w:rsidRDefault="00B1512B" w:rsidP="005B35A3">
            <w:p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4.2. Treści programowe</w:t>
            </w:r>
            <w:r w:rsidR="00590BBA" w:rsidRPr="00810820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C2591" w:rsidRPr="00810820">
              <w:rPr>
                <w:b/>
                <w:bCs/>
                <w:i/>
                <w:color w:val="auto"/>
                <w:sz w:val="20"/>
                <w:szCs w:val="20"/>
              </w:rPr>
              <w:t>(</w:t>
            </w:r>
            <w:r w:rsidR="00590BBA" w:rsidRPr="00810820">
              <w:rPr>
                <w:b/>
                <w:bCs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D00C20" w:rsidRPr="00810820" w:rsidRDefault="00B1512B" w:rsidP="00D00C20">
            <w:p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Wykład</w:t>
            </w:r>
            <w:r w:rsidR="00D00C20" w:rsidRPr="00810820">
              <w:rPr>
                <w:b/>
                <w:bCs/>
                <w:color w:val="auto"/>
                <w:sz w:val="20"/>
                <w:szCs w:val="20"/>
              </w:rPr>
              <w:t xml:space="preserve"> e-learning: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Rys historyczny neurochirurgii w Polsce i rozwój neurochirurgii światowej. </w:t>
            </w:r>
          </w:p>
          <w:p w:rsidR="00D00C20" w:rsidRPr="00810820" w:rsidRDefault="00D00C20" w:rsidP="00D00C20">
            <w:pPr>
              <w:rPr>
                <w:b/>
                <w:color w:val="auto"/>
                <w:sz w:val="20"/>
                <w:szCs w:val="20"/>
              </w:rPr>
            </w:pPr>
            <w:r w:rsidRPr="00810820">
              <w:rPr>
                <w:b/>
                <w:color w:val="auto"/>
                <w:sz w:val="20"/>
                <w:szCs w:val="20"/>
              </w:rPr>
              <w:t xml:space="preserve">Wykłady: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1.</w:t>
            </w:r>
            <w:r w:rsidR="00D00C20" w:rsidRPr="00810820">
              <w:rPr>
                <w:color w:val="auto"/>
                <w:sz w:val="20"/>
                <w:szCs w:val="20"/>
              </w:rPr>
              <w:t xml:space="preserve"> 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Choroby zagrażające życiu w klinice neurochirurgicznej. Ocena przytomności i postepowanie z pacjentem </w:t>
            </w:r>
            <w:r w:rsidR="00D00C20" w:rsidRPr="00810820">
              <w:rPr>
                <w:color w:val="auto"/>
                <w:sz w:val="20"/>
                <w:szCs w:val="20"/>
              </w:rPr>
              <w:t xml:space="preserve">                      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nieprzytomnym. 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2. 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Nowotwory wewnątrzczaszkowe i wewnątrz kanału kręgowego – klasyfikacja, charakterystyka i objawy kliniczne. 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3. 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Współczesna diagnostyka nowotworów wewnątrzczaszkowych i kanału kręgowego. Operacyjne metody leczenia. Chirurgia podstawy czaszki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4.</w:t>
            </w:r>
            <w:r w:rsidR="00B1512B" w:rsidRPr="00810820">
              <w:rPr>
                <w:color w:val="auto"/>
                <w:sz w:val="20"/>
                <w:szCs w:val="20"/>
              </w:rPr>
              <w:t>Techniki monitorowania neurochirurgicznego. Operacje w miejscach funkcjonalnie czynnych.</w:t>
            </w:r>
            <w:r w:rsidRPr="00810820">
              <w:rPr>
                <w:color w:val="auto"/>
                <w:sz w:val="20"/>
                <w:szCs w:val="20"/>
              </w:rPr>
              <w:t xml:space="preserve"> 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Techniki leczenia takie jak: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Radiochirurgia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 xml:space="preserve">, stereotaksja, gamma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knife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 xml:space="preserve"> i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cyberknife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 xml:space="preserve">.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5.</w:t>
            </w:r>
            <w:r w:rsidR="00B1512B" w:rsidRPr="00810820">
              <w:rPr>
                <w:color w:val="auto"/>
                <w:sz w:val="20"/>
                <w:szCs w:val="20"/>
              </w:rPr>
              <w:t>Choroby naczyniowe ośrodkowego układu nerwowego – objawy, diagnostyka. Krwawienie podpajęczynówkowe i krwawienie śródmózgowe – przyczyny, diagnostyka. Techniki mikrochirurgiczne          i techniki radiochirurgiczne.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6.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Leczenie tętniaków naczyń mózgowych, Leczenie naczyniaków mózgu i rdzenia.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7.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Choroby naczyniowe będące rzadkimi malformacjami – przetoki DAVF. Zespoły niedostateczności krążenia mózgowego. Technika bypassu w neurochirurgii.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8.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Wady wrodzone u dzieci leczone w klinice neurochirurgii – wodogłowie, kraniostenoza, stany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dysraficzne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 xml:space="preserve">. 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9.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Urazy głowy, urazy ośrodkowego układu nerwowego. Odmienności urazów u dzieci i dorosłych. 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10.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Urazy rdzenia i urazy kręgosłupa. Odmienności urazów u dzieci i dorosłych.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11.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Choroby zwyrodnieniowe kręgosłupa. Choroba krążka międzykręgowego – diagnostyka, kwalifikacja do leczenia. </w:t>
            </w:r>
            <w:r w:rsidR="00B1512B" w:rsidRPr="00810820">
              <w:rPr>
                <w:color w:val="auto"/>
                <w:sz w:val="20"/>
                <w:szCs w:val="20"/>
              </w:rPr>
              <w:lastRenderedPageBreak/>
              <w:t xml:space="preserve">Postępowanie neurochirurgiczne w zależności od objawów i przebiegu choroby.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12.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Nerwy obwodowe: guzy, zespoły cieśni, urazy. Objawy, diagnostyka i leczenie. </w:t>
            </w:r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13.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Choroby układu pozapiramidowego,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ch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 xml:space="preserve">, Parkinsona – współczesne postepowanie neurochirurgiczne                       –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neuromodulacja</w:t>
            </w:r>
            <w:proofErr w:type="spellEnd"/>
          </w:p>
          <w:p w:rsidR="00B1512B" w:rsidRPr="00810820" w:rsidRDefault="00851CDF" w:rsidP="00851CDF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14.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Postępowanie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p.bólowe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 xml:space="preserve">. Stymulacja. </w:t>
            </w:r>
            <w:proofErr w:type="spellStart"/>
            <w:r w:rsidR="00B1512B" w:rsidRPr="00810820">
              <w:rPr>
                <w:color w:val="auto"/>
                <w:sz w:val="20"/>
                <w:szCs w:val="20"/>
              </w:rPr>
              <w:t>Radiochirurgia</w:t>
            </w:r>
            <w:proofErr w:type="spellEnd"/>
            <w:r w:rsidR="00B1512B" w:rsidRPr="00810820">
              <w:rPr>
                <w:color w:val="auto"/>
                <w:sz w:val="20"/>
                <w:szCs w:val="20"/>
              </w:rPr>
              <w:t>.</w:t>
            </w:r>
            <w:proofErr w:type="spellStart"/>
            <w:r w:rsidR="00B1512B" w:rsidRPr="00810820">
              <w:rPr>
                <w:color w:val="auto"/>
                <w:sz w:val="20"/>
                <w:szCs w:val="20"/>
                <w:lang w:val="de-DE"/>
              </w:rPr>
              <w:t>Zagadnienia</w:t>
            </w:r>
            <w:proofErr w:type="spellEnd"/>
            <w:r w:rsidRPr="00810820">
              <w:rPr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1512B" w:rsidRPr="00810820">
              <w:rPr>
                <w:color w:val="auto"/>
                <w:sz w:val="20"/>
                <w:szCs w:val="20"/>
                <w:lang w:val="de-DE"/>
              </w:rPr>
              <w:t>dotyczące</w:t>
            </w:r>
            <w:proofErr w:type="spellEnd"/>
            <w:r w:rsidRPr="00810820">
              <w:rPr>
                <w:color w:val="auto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810820">
              <w:rPr>
                <w:color w:val="auto"/>
                <w:sz w:val="20"/>
                <w:szCs w:val="20"/>
                <w:lang w:val="de-DE"/>
              </w:rPr>
              <w:t>r</w:t>
            </w:r>
            <w:r w:rsidR="00B1512B" w:rsidRPr="00810820">
              <w:rPr>
                <w:color w:val="auto"/>
                <w:sz w:val="20"/>
                <w:szCs w:val="20"/>
                <w:lang w:val="de-DE"/>
              </w:rPr>
              <w:t>obotyki</w:t>
            </w:r>
            <w:proofErr w:type="spellEnd"/>
            <w:r w:rsidR="00B1512B" w:rsidRPr="00810820">
              <w:rPr>
                <w:color w:val="auto"/>
                <w:sz w:val="20"/>
                <w:szCs w:val="20"/>
                <w:lang w:val="de-DE"/>
              </w:rPr>
              <w:t xml:space="preserve"> w </w:t>
            </w:r>
            <w:proofErr w:type="spellStart"/>
            <w:r w:rsidR="00B1512B" w:rsidRPr="00810820">
              <w:rPr>
                <w:color w:val="auto"/>
                <w:sz w:val="20"/>
                <w:szCs w:val="20"/>
                <w:lang w:val="de-DE"/>
              </w:rPr>
              <w:t>neurochirurgii</w:t>
            </w:r>
            <w:proofErr w:type="spellEnd"/>
            <w:r w:rsidR="00B1512B" w:rsidRPr="00810820">
              <w:rPr>
                <w:color w:val="auto"/>
                <w:sz w:val="20"/>
                <w:szCs w:val="20"/>
                <w:lang w:val="de-DE"/>
              </w:rPr>
              <w:t>.</w:t>
            </w:r>
          </w:p>
          <w:p w:rsidR="00B1512B" w:rsidRPr="00810820" w:rsidRDefault="00B1512B" w:rsidP="005B35A3">
            <w:pPr>
              <w:rPr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>Ćwiczen</w:t>
            </w:r>
            <w:r w:rsidR="00590BBA" w:rsidRPr="00810820">
              <w:rPr>
                <w:b/>
                <w:bCs/>
                <w:color w:val="auto"/>
                <w:sz w:val="20"/>
                <w:szCs w:val="20"/>
              </w:rPr>
              <w:t>ia: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1.Zarys anatomii układu nerwowego m</w:t>
            </w:r>
            <w:r w:rsidRPr="00810820">
              <w:rPr>
                <w:color w:val="auto"/>
                <w:sz w:val="20"/>
                <w:szCs w:val="20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20"/>
                <w:szCs w:val="20"/>
              </w:rPr>
              <w:t>zgowia</w:t>
            </w:r>
            <w:proofErr w:type="spellEnd"/>
            <w:r w:rsidRPr="00810820">
              <w:rPr>
                <w:color w:val="auto"/>
                <w:sz w:val="20"/>
                <w:szCs w:val="20"/>
              </w:rPr>
              <w:t>, krę</w:t>
            </w:r>
            <w:r w:rsidRPr="00810820">
              <w:rPr>
                <w:color w:val="auto"/>
                <w:sz w:val="20"/>
                <w:szCs w:val="20"/>
                <w:lang w:val="pt-PT"/>
              </w:rPr>
              <w:t>gos</w:t>
            </w:r>
            <w:r w:rsidRPr="00810820">
              <w:rPr>
                <w:color w:val="auto"/>
                <w:sz w:val="20"/>
                <w:szCs w:val="20"/>
              </w:rPr>
              <w:t xml:space="preserve">łupa i rdzenia kręgowego. 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2.Zaburzenia świadomości, ocena neurochirurgiczna pacjenta. Badanie neurologiczne. Postepowanie z chorym nieprzytomnym. 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3.Diagnostyka schorzeń układu nerwowego- techniki diagnostyczne. Diagnostyka inwazyjna. Diagnostyka nieinwazyjna. Diagnostyka obrazowa. Okulistyka w neurochirurgii – Ocena dna oka 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4.Nauka interpretacji badań obrazowych w neurochirurgii, TK, Rezonans, Angiografia. Badania neurofizjologiczne – SEP, MEP, EMG, </w:t>
            </w:r>
            <w:proofErr w:type="spellStart"/>
            <w:r w:rsidRPr="00810820">
              <w:rPr>
                <w:color w:val="auto"/>
                <w:sz w:val="20"/>
                <w:szCs w:val="20"/>
              </w:rPr>
              <w:t>Neurografia</w:t>
            </w:r>
            <w:proofErr w:type="spellEnd"/>
            <w:r w:rsidRPr="00810820">
              <w:rPr>
                <w:color w:val="auto"/>
                <w:sz w:val="20"/>
                <w:szCs w:val="20"/>
              </w:rPr>
              <w:t xml:space="preserve">. 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  <w:lang w:val="it-IT"/>
              </w:rPr>
              <w:t>5.Fizjologia i patologia ci</w:t>
            </w:r>
            <w:r w:rsidRPr="00810820">
              <w:rPr>
                <w:color w:val="auto"/>
                <w:sz w:val="20"/>
                <w:szCs w:val="20"/>
              </w:rPr>
              <w:t xml:space="preserve">śnienia wewnątrzczaszkowego. Monitorowanie inwazyjne ciśnienia środczaszkowego                  i zastosowanie w klinice 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6.Obrzęk m</w:t>
            </w:r>
            <w:r w:rsidRPr="00810820">
              <w:rPr>
                <w:color w:val="auto"/>
                <w:sz w:val="20"/>
                <w:szCs w:val="20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20"/>
                <w:szCs w:val="20"/>
              </w:rPr>
              <w:t>zgu</w:t>
            </w:r>
            <w:proofErr w:type="spellEnd"/>
            <w:r w:rsidRPr="00810820">
              <w:rPr>
                <w:color w:val="auto"/>
                <w:sz w:val="20"/>
                <w:szCs w:val="20"/>
              </w:rPr>
              <w:t xml:space="preserve"> - rozpoznawanie, leczenie, implikacje kliniczne, leczenie ciasnoty wewnątrzczaszkowej. Śpiączka farmakologiczna.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7.Klasyfikacja do leczenia zachowawczego lub do leczenia operacyjnego -uzasadnienie kliniczne i radiologiczne.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8.Techniki mikrochirurgiczne w neurochirurgii. Zasady postępowania minimalnie inwazyjnego. Mikro narzędzia. Mikroskop operacyjny. Rozwój technologii. Nawigacja. Monitoring śródoperacyjny</w:t>
            </w:r>
          </w:p>
          <w:p w:rsidR="00B1512B" w:rsidRPr="00810820" w:rsidRDefault="00B1512B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 xml:space="preserve">9. Opieka pooperacyjna w neurochirurgii. Diagnostyka kontrolna i ambulatoryjna. </w:t>
            </w:r>
          </w:p>
          <w:p w:rsidR="00D00C20" w:rsidRPr="00810820" w:rsidRDefault="00D00C20" w:rsidP="005B35A3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b/>
                <w:bCs/>
                <w:color w:val="auto"/>
                <w:sz w:val="20"/>
                <w:szCs w:val="20"/>
              </w:rPr>
              <w:t xml:space="preserve">Ćwiczenia praktyczne: </w:t>
            </w:r>
          </w:p>
          <w:p w:rsidR="00B1512B" w:rsidRPr="00810820" w:rsidRDefault="003230DA" w:rsidP="003230D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1.</w:t>
            </w:r>
            <w:r w:rsidR="00B1512B" w:rsidRPr="00810820">
              <w:rPr>
                <w:color w:val="auto"/>
                <w:sz w:val="20"/>
                <w:szCs w:val="20"/>
              </w:rPr>
              <w:t xml:space="preserve">Obserwacja zabiegów operacyjnych z komentarzem uzasadniającym postępowanie diagnostyczne i lecznicze. </w:t>
            </w:r>
          </w:p>
          <w:p w:rsidR="00D00C20" w:rsidRPr="00810820" w:rsidRDefault="003230DA" w:rsidP="003230D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2.</w:t>
            </w:r>
            <w:r w:rsidR="00D00C20" w:rsidRPr="00810820">
              <w:rPr>
                <w:color w:val="auto"/>
                <w:sz w:val="20"/>
                <w:szCs w:val="20"/>
              </w:rPr>
              <w:t>Ćwiczenie technik diagnostycznych.</w:t>
            </w:r>
          </w:p>
          <w:p w:rsidR="00D00C20" w:rsidRPr="00810820" w:rsidRDefault="003230DA" w:rsidP="003230D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3.</w:t>
            </w:r>
            <w:r w:rsidR="00D00C20" w:rsidRPr="00810820">
              <w:rPr>
                <w:color w:val="auto"/>
                <w:sz w:val="20"/>
                <w:szCs w:val="20"/>
              </w:rPr>
              <w:t>Ćwiczenie interpretacji badań obrazowych w neurochirurgii oraz badań neurofizjologicznych.</w:t>
            </w:r>
          </w:p>
          <w:p w:rsidR="00D00C20" w:rsidRPr="00810820" w:rsidRDefault="003230DA" w:rsidP="003230D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4.</w:t>
            </w:r>
            <w:r w:rsidR="00D00C20" w:rsidRPr="00810820">
              <w:rPr>
                <w:color w:val="auto"/>
                <w:sz w:val="20"/>
                <w:szCs w:val="20"/>
              </w:rPr>
              <w:t>Szkolenie umiejętności klasyfikacji do leczenia zachowawczego lub operacyjnego.</w:t>
            </w:r>
          </w:p>
          <w:p w:rsidR="00D00C20" w:rsidRPr="00810820" w:rsidRDefault="003230DA" w:rsidP="003230D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5.</w:t>
            </w:r>
            <w:r w:rsidR="00D00C20" w:rsidRPr="00810820">
              <w:rPr>
                <w:color w:val="auto"/>
                <w:sz w:val="20"/>
                <w:szCs w:val="20"/>
              </w:rPr>
              <w:t xml:space="preserve">Zapoznanie </w:t>
            </w:r>
            <w:r w:rsidRPr="00810820">
              <w:rPr>
                <w:color w:val="auto"/>
                <w:sz w:val="20"/>
                <w:szCs w:val="20"/>
              </w:rPr>
              <w:t>z postępowaniem minimalnie inwazyjnym</w:t>
            </w:r>
            <w:r w:rsidR="00D00C20" w:rsidRPr="00810820">
              <w:rPr>
                <w:color w:val="auto"/>
                <w:sz w:val="20"/>
                <w:szCs w:val="20"/>
              </w:rPr>
              <w:t xml:space="preserve"> oraz mikro narzędziami.</w:t>
            </w:r>
          </w:p>
          <w:p w:rsidR="00D00C20" w:rsidRPr="00810820" w:rsidRDefault="003230DA" w:rsidP="003230DA">
            <w:pPr>
              <w:rPr>
                <w:color w:val="auto"/>
                <w:sz w:val="20"/>
                <w:szCs w:val="20"/>
              </w:rPr>
            </w:pPr>
            <w:r w:rsidRPr="00810820">
              <w:rPr>
                <w:color w:val="auto"/>
                <w:sz w:val="20"/>
                <w:szCs w:val="20"/>
              </w:rPr>
              <w:t>6.Prezentacja opieki pooperacyjnej w neurochirurgii.</w:t>
            </w:r>
          </w:p>
        </w:tc>
      </w:tr>
    </w:tbl>
    <w:p w:rsidR="00B1512B" w:rsidRPr="00810820" w:rsidRDefault="00B1512B" w:rsidP="00590BBA">
      <w:pPr>
        <w:widowControl w:val="0"/>
        <w:rPr>
          <w:color w:val="auto"/>
          <w:sz w:val="18"/>
          <w:szCs w:val="18"/>
        </w:rPr>
      </w:pPr>
    </w:p>
    <w:p w:rsidR="00B1512B" w:rsidRPr="00810820" w:rsidRDefault="00B1512B" w:rsidP="00B1512B">
      <w:pPr>
        <w:pStyle w:val="Akapitzlist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  <w:b/>
          <w:color w:val="auto"/>
          <w:sz w:val="20"/>
          <w:szCs w:val="20"/>
        </w:rPr>
      </w:pPr>
      <w:r w:rsidRPr="00810820">
        <w:rPr>
          <w:rFonts w:cs="Times New Roman"/>
          <w:b/>
          <w:color w:val="auto"/>
          <w:sz w:val="20"/>
          <w:szCs w:val="20"/>
        </w:rPr>
        <w:t>Przedmiotowe efekty uczenia się</w:t>
      </w:r>
    </w:p>
    <w:tbl>
      <w:tblPr>
        <w:tblStyle w:val="TableNormal"/>
        <w:tblW w:w="9781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559"/>
      </w:tblGrid>
      <w:tr w:rsidR="00810820" w:rsidRPr="00810820" w:rsidTr="00706F0C">
        <w:trPr>
          <w:cantSplit/>
          <w:trHeight w:val="9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B1512B" w:rsidRPr="00810820" w:rsidRDefault="00B1512B" w:rsidP="00706F0C">
            <w:pPr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b/>
                <w:bCs/>
                <w:color w:val="auto"/>
                <w:sz w:val="18"/>
                <w:szCs w:val="18"/>
              </w:rPr>
              <w:t>Efekt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b/>
                <w:bCs/>
                <w:color w:val="auto"/>
                <w:sz w:val="18"/>
                <w:szCs w:val="18"/>
              </w:rPr>
              <w:t xml:space="preserve">Student, </w:t>
            </w:r>
            <w:proofErr w:type="spellStart"/>
            <w:r w:rsidRPr="00810820">
              <w:rPr>
                <w:b/>
                <w:bCs/>
                <w:color w:val="auto"/>
                <w:sz w:val="18"/>
                <w:szCs w:val="18"/>
              </w:rPr>
              <w:t>kt</w:t>
            </w:r>
            <w:proofErr w:type="spellEnd"/>
            <w:r w:rsidRPr="00810820">
              <w:rPr>
                <w:b/>
                <w:bCs/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b/>
                <w:bCs/>
                <w:color w:val="auto"/>
                <w:sz w:val="18"/>
                <w:szCs w:val="18"/>
              </w:rPr>
              <w:t>ry</w:t>
            </w:r>
            <w:proofErr w:type="spellEnd"/>
            <w:r w:rsidRPr="00810820">
              <w:rPr>
                <w:b/>
                <w:bCs/>
                <w:color w:val="auto"/>
                <w:sz w:val="18"/>
                <w:szCs w:val="18"/>
              </w:rPr>
              <w:t xml:space="preserve"> zaliczył 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b/>
                <w:bCs/>
                <w:color w:val="auto"/>
                <w:sz w:val="18"/>
                <w:szCs w:val="18"/>
              </w:rPr>
              <w:t>Odniesienie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b/>
                <w:bCs/>
                <w:color w:val="auto"/>
                <w:sz w:val="18"/>
                <w:szCs w:val="18"/>
              </w:rPr>
              <w:t xml:space="preserve">do kierunkowych efektów uczenia się </w:t>
            </w:r>
          </w:p>
        </w:tc>
      </w:tr>
      <w:tr w:rsidR="00810820" w:rsidRPr="00810820" w:rsidTr="00706F0C">
        <w:trPr>
          <w:trHeight w:val="1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w zakresie </w:t>
            </w:r>
            <w:r w:rsidRPr="00810820">
              <w:rPr>
                <w:b/>
                <w:bCs/>
                <w:color w:val="auto"/>
                <w:sz w:val="18"/>
                <w:szCs w:val="18"/>
              </w:rPr>
              <w:t>WIEDZY</w:t>
            </w:r>
            <w:r w:rsidRPr="00810820">
              <w:rPr>
                <w:color w:val="auto"/>
                <w:sz w:val="18"/>
                <w:szCs w:val="18"/>
              </w:rPr>
              <w:t>:</w:t>
            </w:r>
          </w:p>
        </w:tc>
      </w:tr>
      <w:tr w:rsidR="00810820" w:rsidRPr="00810820" w:rsidTr="00706F0C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  <w:lang w:val="de-DE"/>
              </w:rPr>
              <w:t>W01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F23DE6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nazywa </w:t>
            </w:r>
            <w:r w:rsidR="00B1512B" w:rsidRPr="00810820">
              <w:rPr>
                <w:color w:val="auto"/>
                <w:sz w:val="18"/>
                <w:szCs w:val="18"/>
              </w:rPr>
              <w:t>uwarunkowania środowiskowe i epidemiologiczne najczęstszych chor</w:t>
            </w:r>
            <w:r w:rsidR="00B1512B"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="00B1512B" w:rsidRPr="00810820">
              <w:rPr>
                <w:color w:val="auto"/>
                <w:sz w:val="18"/>
                <w:szCs w:val="18"/>
              </w:rPr>
              <w:t>b;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W1.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W02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rozróżnia podstawowe zespoły objaw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w neurologicznych;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W13.</w:t>
            </w:r>
          </w:p>
        </w:tc>
      </w:tr>
      <w:tr w:rsidR="00810820" w:rsidRPr="00810820" w:rsidTr="00706F0C">
        <w:trPr>
          <w:trHeight w:val="28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  <w:lang w:val="en-US"/>
              </w:rPr>
              <w:t>W03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rozumie przyczyny, objawy, zasady diagnozowania i postępowania terapeutycznego w najczęstszych chorobach układu nerwowego, w tym: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a) b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lach głowy: migrenie, napięciowym b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lu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głowy i zespołach b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l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 xml:space="preserve">w głowy oraz neuralgii nerwu V, 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b) chorobach naczyniowych m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zgu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udarze m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zgu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>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c) padaczce,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d) zakażeniach  układu  nerwowego,  w 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 zapaleniu  opon  m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zgowo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>-rdzeniowych,  boreliozie, opryszczkowym zapaleniu m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zgu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>, chorobach neurotransmisyjnych,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e) otępieniach,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chorobie Alzheimera, otępieniu czołowym, otępieniu naczyniopochodnym i innych zespołach otępiennych,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f) chorobach jąder podstawy,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chorobie Parkinsona,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g) chorobach demielinizacyjnych,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stwardnieniu rozsianym,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h) chorobach układu nerwowo-mięśniowego,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stwardnieniu bocznym zanikowym i rwie kulszowej,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i) urazach czaszkowo-m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zgowych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lności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wstrząśnieniu m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zgu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W14.</w:t>
            </w:r>
          </w:p>
        </w:tc>
      </w:tr>
      <w:tr w:rsidR="00810820" w:rsidRPr="00810820" w:rsidTr="00706F0C">
        <w:trPr>
          <w:trHeight w:val="18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w zakresie </w:t>
            </w:r>
            <w:r w:rsidRPr="00810820">
              <w:rPr>
                <w:b/>
                <w:bCs/>
                <w:color w:val="auto"/>
                <w:sz w:val="18"/>
                <w:szCs w:val="18"/>
                <w:lang w:val="fr-FR"/>
              </w:rPr>
              <w:t>UMIEJ</w:t>
            </w:r>
            <w:r w:rsidRPr="00810820">
              <w:rPr>
                <w:b/>
                <w:bCs/>
                <w:color w:val="auto"/>
                <w:sz w:val="18"/>
                <w:szCs w:val="18"/>
              </w:rPr>
              <w:t>ĘTNOŚCI</w:t>
            </w:r>
            <w:r w:rsidRPr="00810820">
              <w:rPr>
                <w:color w:val="auto"/>
                <w:sz w:val="18"/>
                <w:szCs w:val="18"/>
              </w:rPr>
              <w:t>:</w:t>
            </w:r>
          </w:p>
        </w:tc>
      </w:tr>
      <w:tr w:rsidR="00810820" w:rsidRPr="00810820" w:rsidTr="00706F0C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F23DE6" w:rsidP="00F23DE6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projektuje</w:t>
            </w:r>
            <w:r w:rsidR="00B1512B" w:rsidRPr="00810820">
              <w:rPr>
                <w:color w:val="auto"/>
                <w:sz w:val="18"/>
                <w:szCs w:val="18"/>
              </w:rPr>
              <w:t xml:space="preserve"> pełne i ukierunkowane badanie fizykalne pacjenta </w:t>
            </w:r>
            <w:proofErr w:type="spellStart"/>
            <w:r w:rsidR="00B1512B" w:rsidRPr="00810820">
              <w:rPr>
                <w:color w:val="auto"/>
                <w:sz w:val="18"/>
                <w:szCs w:val="18"/>
              </w:rPr>
              <w:t>dorosł</w:t>
            </w:r>
            <w:proofErr w:type="spellEnd"/>
            <w:r w:rsidR="00B1512B" w:rsidRPr="00810820">
              <w:rPr>
                <w:color w:val="auto"/>
                <w:sz w:val="18"/>
                <w:szCs w:val="18"/>
                <w:lang w:val="it-IT"/>
              </w:rPr>
              <w:t>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U3.</w:t>
            </w:r>
          </w:p>
        </w:tc>
      </w:tr>
      <w:tr w:rsidR="00810820" w:rsidRPr="00810820" w:rsidTr="00706F0C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lastRenderedPageBreak/>
              <w:t>U02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przeprowadza orientacyjne badanie słuchu i pola widzenia oraz badanie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otoskopowe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U6.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ocenia stan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og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lny, stan przytomności i świadomości pacjenta;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U7.</w:t>
            </w:r>
          </w:p>
        </w:tc>
      </w:tr>
      <w:tr w:rsidR="00810820" w:rsidRPr="00810820" w:rsidTr="00706F0C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przeprowadza diagnostykę różnicową najczęstszych chor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b os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b dorosłych i dzieci;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U12.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ocenia i opisuje stan somatyczny i psychiczny pacjenta;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U13.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rozpoznaje stany bezpośredniego zagrożenia życia;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U14.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planuje postępowanie diagnostyczne, terapeutyczne i profilaktyczne;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U16.</w:t>
            </w:r>
          </w:p>
        </w:tc>
      </w:tr>
      <w:tr w:rsidR="00810820" w:rsidRPr="00810820" w:rsidTr="00706F0C">
        <w:trPr>
          <w:trHeight w:val="5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przeprowadza analizę ewentualnych działań niepożądanych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poszczeg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lnych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lek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w oraz interakcji między nimi;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U17.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U09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kwalifikuje pacjenta do leczenia domowego i szpitalnego;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U20.</w:t>
            </w:r>
          </w:p>
        </w:tc>
      </w:tr>
      <w:tr w:rsidR="00810820" w:rsidRPr="00810820" w:rsidTr="00706F0C">
        <w:trPr>
          <w:trHeight w:val="8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 xml:space="preserve">definiuje stany, w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kt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rych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czas dalszego trwania życia, stan funkcjonalny lub preferencje chorego ograniczają postępowanie zgodne z określonymi dla danej choroby wytycznymi;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U21.</w:t>
            </w:r>
          </w:p>
        </w:tc>
      </w:tr>
      <w:tr w:rsidR="00810820" w:rsidRPr="00810820" w:rsidTr="00706F0C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interpretuje badania laboratoryjne i identyfikuje przyczyny odchyleń;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U24.</w:t>
            </w:r>
          </w:p>
        </w:tc>
      </w:tr>
      <w:tr w:rsidR="00810820" w:rsidRPr="00810820" w:rsidTr="00706F0C">
        <w:trPr>
          <w:trHeight w:val="18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asystuje przy przeprowadzaniu następujących procedur i zabieg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>w lekarskich: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a) przetaczaniu preparat</w:t>
            </w:r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r w:rsidRPr="00810820">
              <w:rPr>
                <w:color w:val="auto"/>
                <w:sz w:val="18"/>
                <w:szCs w:val="18"/>
              </w:rPr>
              <w:t xml:space="preserve">w krwi i krwiopochodnych, 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b) drenażu jamy opłucnowej,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c) nakłuciu worka osierdziowego, 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>d) nakłuciu jamy otrzewnowej,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e) nakłuciu lędźwiowym, 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f) biopsji cienkoigłowej, 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g) testach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nask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rkowych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>,</w:t>
            </w:r>
            <w:r w:rsidRPr="00810820">
              <w:rPr>
                <w:rFonts w:ascii="Arial Unicode MS" w:hAnsi="Arial Unicode MS"/>
                <w:color w:val="auto"/>
                <w:sz w:val="18"/>
                <w:szCs w:val="18"/>
              </w:rPr>
              <w:br/>
            </w:r>
            <w:r w:rsidRPr="00810820">
              <w:rPr>
                <w:color w:val="auto"/>
                <w:sz w:val="18"/>
                <w:szCs w:val="18"/>
              </w:rPr>
              <w:t xml:space="preserve">h) 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pr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  <w:lang w:val="de-DE"/>
              </w:rPr>
              <w:t>bach</w:t>
            </w:r>
            <w:r w:rsidRPr="00810820">
              <w:rPr>
                <w:color w:val="auto"/>
                <w:sz w:val="18"/>
                <w:szCs w:val="18"/>
              </w:rPr>
              <w:t>śr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dsk</w:t>
            </w:r>
            <w:proofErr w:type="spellEnd"/>
            <w:r w:rsidRPr="00810820">
              <w:rPr>
                <w:color w:val="auto"/>
                <w:sz w:val="18"/>
                <w:szCs w:val="18"/>
                <w:lang w:val="es-ES_tradnl"/>
              </w:rPr>
              <w:t>ó</w:t>
            </w:r>
            <w:proofErr w:type="spellStart"/>
            <w:r w:rsidRPr="00810820">
              <w:rPr>
                <w:color w:val="auto"/>
                <w:sz w:val="18"/>
                <w:szCs w:val="18"/>
              </w:rPr>
              <w:t>rnych</w:t>
            </w:r>
            <w:proofErr w:type="spellEnd"/>
            <w:r w:rsidRPr="00810820">
              <w:rPr>
                <w:color w:val="auto"/>
                <w:sz w:val="18"/>
                <w:szCs w:val="18"/>
              </w:rPr>
              <w:t xml:space="preserve"> i skaryfikacyjnych oraz interpretuje ich wyniki;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U30.</w:t>
            </w:r>
          </w:p>
        </w:tc>
      </w:tr>
      <w:tr w:rsidR="00810820" w:rsidRPr="00810820" w:rsidTr="00706F0C">
        <w:trPr>
          <w:trHeight w:val="1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planuje konsultacje specjalistyczne;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U32.</w:t>
            </w:r>
          </w:p>
        </w:tc>
      </w:tr>
      <w:tr w:rsidR="00810820" w:rsidRPr="00810820" w:rsidTr="00706F0C">
        <w:trPr>
          <w:trHeight w:val="1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ocenia odleżyny i stosuje odpowiednie opatrunki;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E. U35.</w:t>
            </w:r>
          </w:p>
        </w:tc>
      </w:tr>
      <w:tr w:rsidR="00810820" w:rsidRPr="00810820" w:rsidTr="00706F0C">
        <w:trPr>
          <w:trHeight w:val="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U15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stosuje się do zasad aseptyki i antyseptyki;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12B" w:rsidRPr="00810820" w:rsidRDefault="00B1512B" w:rsidP="00706F0C">
            <w:pPr>
              <w:jc w:val="center"/>
              <w:rPr>
                <w:color w:val="auto"/>
                <w:sz w:val="18"/>
                <w:szCs w:val="18"/>
              </w:rPr>
            </w:pPr>
            <w:r w:rsidRPr="00810820">
              <w:rPr>
                <w:color w:val="auto"/>
                <w:sz w:val="18"/>
                <w:szCs w:val="18"/>
              </w:rPr>
              <w:t>F. U3.</w:t>
            </w:r>
          </w:p>
        </w:tc>
      </w:tr>
    </w:tbl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6"/>
        <w:gridCol w:w="7384"/>
        <w:gridCol w:w="1635"/>
      </w:tblGrid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BA" w:rsidRPr="00810820" w:rsidRDefault="00590BBA" w:rsidP="005B35A3">
            <w:pPr>
              <w:rPr>
                <w:rFonts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810820" w:rsidRPr="00810820" w:rsidTr="00590BBA">
        <w:trPr>
          <w:trHeight w:val="284"/>
        </w:trPr>
        <w:tc>
          <w:tcPr>
            <w:tcW w:w="9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strike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w zakresie </w:t>
            </w: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...K01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F23DE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 xml:space="preserve">świadomy 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>nawiązania i utrzymania głębokiego oraz pełnego szacunku kontaktu z pacjentem, a także okazywania zrozumienia dla różnic światopoglądowych i kulturowych;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H.S1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jest gotów do kierowania się dobrem pacjenta;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H.S2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F23DE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>wrażliwy na konieczność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 przestrzegania tajemnicy lekarskiej i praw pacjenta;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H.S3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>otwarty na podejmowanie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 działań wobec pacjenta w oparciu o zasady etyczne, ze świadomością</w:t>
            </w:r>
          </w:p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społecznych uwarunkowań i ograniczeń wynikających z choroby;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H.S4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K05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jest gotów do dostrzegania i rozpoznawania własnych ograniczeń oraz dokonywania samooceny</w:t>
            </w:r>
          </w:p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deficytów i potrzeb edukacyjnych;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H.S5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K06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F23DE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 xml:space="preserve">chętny 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do propagowania </w:t>
            </w:r>
            <w:proofErr w:type="spellStart"/>
            <w:r w:rsidRPr="00810820">
              <w:rPr>
                <w:rFonts w:cs="Times New Roman"/>
                <w:color w:val="auto"/>
                <w:sz w:val="18"/>
                <w:szCs w:val="18"/>
              </w:rPr>
              <w:t>zachowań</w:t>
            </w:r>
            <w:proofErr w:type="spellEnd"/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 prozdrowotnych;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H.S6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K07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F23DE6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wykazuje aktywność w korzystaniu </w:t>
            </w:r>
            <w:r w:rsidR="00590BBA" w:rsidRPr="00810820">
              <w:rPr>
                <w:rFonts w:cs="Times New Roman"/>
                <w:color w:val="auto"/>
                <w:sz w:val="18"/>
                <w:szCs w:val="18"/>
              </w:rPr>
              <w:t>z obiektywnych źródeł informacji;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H.S7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K08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jest gotów do formułowania wniosków z własnych pomiarów lub obserwacji;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H.S8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K09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F23DE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>wrażliwy na wdrażanie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 zasad koleżeństwa zawodowego i współpracy w zespole specjalistów, w tym z przedstawicielami innych zawodów medycznych, także w środowisku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>wielokulturowym i wielonarodowościowym;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H.S9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K10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F23DE6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 xml:space="preserve">chętny 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>do formułowania opinii dotyczących różnych aspektów działalności zawodowej;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H.S10</w:t>
            </w:r>
          </w:p>
        </w:tc>
      </w:tr>
      <w:tr w:rsidR="00810820" w:rsidRPr="00810820" w:rsidTr="00590BBA">
        <w:trPr>
          <w:trHeight w:val="284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K11</w:t>
            </w:r>
          </w:p>
        </w:tc>
        <w:tc>
          <w:tcPr>
            <w:tcW w:w="7384" w:type="dxa"/>
            <w:shd w:val="clear" w:color="auto" w:fill="auto"/>
            <w:vAlign w:val="center"/>
          </w:tcPr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 xml:space="preserve">jest </w:t>
            </w:r>
            <w:r w:rsidR="00F23DE6" w:rsidRPr="00810820">
              <w:rPr>
                <w:rFonts w:cs="Times New Roman"/>
                <w:color w:val="auto"/>
                <w:sz w:val="18"/>
                <w:szCs w:val="18"/>
              </w:rPr>
              <w:t xml:space="preserve">świadomy </w:t>
            </w:r>
            <w:r w:rsidRPr="00810820">
              <w:rPr>
                <w:rFonts w:cs="Times New Roman"/>
                <w:color w:val="auto"/>
                <w:sz w:val="18"/>
                <w:szCs w:val="18"/>
              </w:rPr>
              <w:t>przyjęcia odpowiedzialności związanej z decyzjami podejmowanymi w ramach</w:t>
            </w:r>
          </w:p>
          <w:p w:rsidR="00590BBA" w:rsidRPr="00810820" w:rsidRDefault="00590BBA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BA" w:rsidRPr="00810820" w:rsidRDefault="00590BBA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H.S11</w:t>
            </w:r>
          </w:p>
        </w:tc>
      </w:tr>
    </w:tbl>
    <w:p w:rsidR="00590BBA" w:rsidRPr="00810820" w:rsidRDefault="00590BBA" w:rsidP="00B1512B">
      <w:pPr>
        <w:widowControl w:val="0"/>
        <w:rPr>
          <w:color w:val="auto"/>
          <w:sz w:val="18"/>
          <w:szCs w:val="18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0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</w:tblGrid>
      <w:tr w:rsidR="00810820" w:rsidRPr="00810820" w:rsidTr="005B35A3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F0C" w:rsidRPr="00810820" w:rsidRDefault="00706F0C" w:rsidP="005B35A3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A7EA0" w:rsidRPr="00810820" w:rsidRDefault="004A7EA0" w:rsidP="005B35A3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F0C" w:rsidRPr="00810820" w:rsidRDefault="00706F0C" w:rsidP="005B35A3">
            <w:pPr>
              <w:rPr>
                <w:rFonts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gridAfter w:val="1"/>
          <w:wAfter w:w="34" w:type="dxa"/>
          <w:trHeight w:val="284"/>
        </w:trPr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06F0C" w:rsidRPr="00810820" w:rsidRDefault="00706F0C" w:rsidP="005B35A3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6F0C" w:rsidRPr="00810820" w:rsidRDefault="00706F0C" w:rsidP="005B35A3">
            <w:pPr>
              <w:rPr>
                <w:rFonts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978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C" w:rsidRPr="00810820" w:rsidRDefault="00706F0C" w:rsidP="00706F0C">
            <w:pPr>
              <w:numPr>
                <w:ilvl w:val="1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6"/>
              </w:tabs>
              <w:ind w:left="426" w:hanging="426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810820" w:rsidRPr="00810820" w:rsidTr="005B35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 xml:space="preserve">Sposób weryfikacji </w:t>
            </w:r>
            <w:r w:rsidRPr="00810820">
              <w:rPr>
                <w:rFonts w:ascii="Arial" w:hAnsi="Arial" w:cs="Arial"/>
                <w:b/>
                <w:color w:val="auto"/>
                <w:sz w:val="18"/>
                <w:szCs w:val="18"/>
              </w:rPr>
              <w:t>(+/-)</w:t>
            </w:r>
          </w:p>
        </w:tc>
      </w:tr>
      <w:tr w:rsidR="00810820" w:rsidRPr="00810820" w:rsidTr="005B35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0C" w:rsidRPr="00810820" w:rsidRDefault="00706F0C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ind w:left="-113" w:right="-113"/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ind w:left="-57" w:right="-57"/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810820">
              <w:rPr>
                <w:rFonts w:cs="Times New Roman"/>
                <w:b/>
                <w:color w:val="auto"/>
                <w:spacing w:val="-2"/>
                <w:sz w:val="18"/>
                <w:szCs w:val="18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 xml:space="preserve">Inne </w:t>
            </w: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(jakie?)</w:t>
            </w:r>
            <w:r w:rsidRPr="00810820">
              <w:rPr>
                <w:rFonts w:cs="Times New Roman"/>
                <w:b/>
                <w:color w:val="auto"/>
                <w:sz w:val="18"/>
                <w:szCs w:val="18"/>
              </w:rPr>
              <w:t xml:space="preserve">* </w:t>
            </w:r>
          </w:p>
          <w:p w:rsidR="00706F0C" w:rsidRPr="00810820" w:rsidRDefault="00706F0C" w:rsidP="005B35A3">
            <w:pPr>
              <w:jc w:val="center"/>
              <w:rPr>
                <w:rFonts w:cs="Times New Roman"/>
                <w:b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color w:val="auto"/>
                <w:sz w:val="16"/>
                <w:szCs w:val="16"/>
              </w:rPr>
              <w:t>np. test stosowany w e-learningu</w:t>
            </w:r>
          </w:p>
        </w:tc>
      </w:tr>
      <w:tr w:rsidR="00810820" w:rsidRPr="00810820" w:rsidTr="005B35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F0C" w:rsidRPr="00810820" w:rsidRDefault="00706F0C" w:rsidP="005B35A3">
            <w:pPr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Forma zajęć</w:t>
            </w:r>
          </w:p>
        </w:tc>
      </w:tr>
      <w:tr w:rsidR="00810820" w:rsidRPr="00810820" w:rsidTr="005B35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C" w:rsidRPr="00810820" w:rsidRDefault="00706F0C" w:rsidP="005B35A3">
            <w:pPr>
              <w:rPr>
                <w:rFonts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6F0C" w:rsidRPr="00810820" w:rsidRDefault="004E3222" w:rsidP="004E3222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  <w:p w:rsidR="004E3222" w:rsidRPr="00810820" w:rsidRDefault="004E3222" w:rsidP="004E3222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i/>
                <w:color w:val="auto"/>
                <w:sz w:val="18"/>
                <w:szCs w:val="18"/>
              </w:rPr>
              <w:t>...</w:t>
            </w:r>
          </w:p>
        </w:tc>
      </w:tr>
      <w:tr w:rsidR="00810820" w:rsidRPr="00810820" w:rsidTr="005B35A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4E3222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6F0C" w:rsidRPr="00810820" w:rsidRDefault="00706F0C" w:rsidP="005B35A3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872A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872A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U15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K09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10820" w:rsidRPr="00810820" w:rsidTr="00323B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4"/>
        </w:trPr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810820">
              <w:rPr>
                <w:rFonts w:cs="Times New Roman"/>
                <w:color w:val="auto"/>
                <w:sz w:val="18"/>
                <w:szCs w:val="18"/>
              </w:rPr>
              <w:t>K11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E3222" w:rsidRPr="00810820" w:rsidRDefault="004E3222" w:rsidP="004E3222">
            <w:pPr>
              <w:rPr>
                <w:color w:val="auto"/>
              </w:rPr>
            </w:pPr>
            <w:r w:rsidRPr="00810820">
              <w:rPr>
                <w:rFonts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3222" w:rsidRPr="00810820" w:rsidRDefault="004E3222" w:rsidP="004E3222">
            <w:pPr>
              <w:jc w:val="center"/>
              <w:rPr>
                <w:rFonts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:rsidR="00706F0C" w:rsidRDefault="00706F0C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Default="005539D6" w:rsidP="00B1512B">
      <w:pPr>
        <w:widowControl w:val="0"/>
        <w:rPr>
          <w:color w:val="auto"/>
          <w:sz w:val="18"/>
          <w:szCs w:val="18"/>
        </w:rPr>
      </w:pPr>
    </w:p>
    <w:p w:rsidR="005539D6" w:rsidRPr="00810820" w:rsidRDefault="005539D6" w:rsidP="00B1512B">
      <w:pPr>
        <w:widowControl w:val="0"/>
        <w:rPr>
          <w:color w:val="auto"/>
          <w:sz w:val="18"/>
          <w:szCs w:val="18"/>
        </w:rPr>
      </w:pPr>
    </w:p>
    <w:tbl>
      <w:tblPr>
        <w:tblStyle w:val="TableNormal"/>
        <w:tblW w:w="9748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39"/>
        <w:gridCol w:w="926"/>
        <w:gridCol w:w="7783"/>
      </w:tblGrid>
      <w:tr w:rsidR="00C32DCD" w:rsidRPr="00810820" w:rsidTr="00742ED1">
        <w:trPr>
          <w:trHeight w:val="165"/>
        </w:trPr>
        <w:tc>
          <w:tcPr>
            <w:tcW w:w="9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numPr>
                <w:ilvl w:val="1"/>
                <w:numId w:val="16"/>
              </w:numPr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Kryteria oceny stopnia osiągnięcia efektów uczenia się </w:t>
            </w:r>
          </w:p>
        </w:tc>
      </w:tr>
      <w:tr w:rsidR="00C32DCD" w:rsidRPr="00810820" w:rsidTr="00742ED1">
        <w:trPr>
          <w:trHeight w:val="33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Kryterium oceny</w:t>
            </w:r>
          </w:p>
        </w:tc>
      </w:tr>
      <w:tr w:rsidR="00C32DCD" w:rsidRPr="00810820" w:rsidTr="00742ED1">
        <w:trPr>
          <w:trHeight w:val="165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C32DCD" w:rsidRPr="00810820" w:rsidRDefault="00C32DCD" w:rsidP="00742ED1">
            <w:pPr>
              <w:pStyle w:val="Akapitzlist"/>
              <w:suppressAutoHyphens w:val="0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</w:tcMar>
            <w:vAlign w:val="center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Posiadł wiedzę i umiejętności w zakresie dostatecznym - uzyskanie 61-68% łącznej liczby pkt. możliwych do uzyskania w teście sprawdzającym.</w:t>
            </w:r>
          </w:p>
        </w:tc>
      </w:tr>
      <w:tr w:rsidR="00C32DCD" w:rsidRPr="00810820" w:rsidTr="00742ED1">
        <w:trPr>
          <w:trHeight w:val="165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Posiadł wiedzę i umiejętności w zakresie ponad dostatecznym - uzyskanie 69-76% łącznej liczby pkt. możliwych do uzyskania w teście sprawdzającym</w:t>
            </w:r>
          </w:p>
        </w:tc>
      </w:tr>
      <w:tr w:rsidR="00C32DCD" w:rsidRPr="00810820" w:rsidTr="00742ED1">
        <w:trPr>
          <w:trHeight w:val="165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Posiadł wiedzę i umiejętności w zakresie dobrym - uzyskanie 77-84% łącznej liczby pkt. możliwych do uzyskania w teście sprawdzającym.</w:t>
            </w:r>
          </w:p>
        </w:tc>
      </w:tr>
      <w:tr w:rsidR="00C32DCD" w:rsidRPr="00810820" w:rsidTr="00742ED1">
        <w:trPr>
          <w:trHeight w:val="165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4,5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Default="00C32DCD" w:rsidP="00742ED1">
            <w:pPr>
              <w:rPr>
                <w:rFonts w:cs="Times New Roman"/>
                <w:sz w:val="20"/>
                <w:szCs w:val="20"/>
                <w:bdr w:val="none" w:sz="0" w:space="0" w:color="auto"/>
              </w:rPr>
            </w:pPr>
            <w:r>
              <w:rPr>
                <w:rFonts w:cs="Times New Roman"/>
                <w:sz w:val="20"/>
                <w:szCs w:val="20"/>
              </w:rPr>
              <w:t>Posiadł wiedzę i umiejętności w zakresie ponad dobrym - uzyskanie 85-92% łącznej liczby pkt. możliwych do uzyskania w teście sprawdzającym.</w:t>
            </w:r>
          </w:p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C32DCD" w:rsidRPr="00810820" w:rsidTr="00742ED1">
        <w:trPr>
          <w:trHeight w:val="165"/>
        </w:trPr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7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Posiadł wiedzę i umiejętności w zakresie bardzo dobrym - uzyskanie 93-100% łącznej liczby pkt. możliwych do uzyskania w teście sprawdzającym.</w:t>
            </w:r>
          </w:p>
        </w:tc>
      </w:tr>
      <w:tr w:rsidR="00C32DCD" w:rsidRPr="00810820" w:rsidTr="00742ED1">
        <w:trPr>
          <w:trHeight w:val="330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C32DCD" w:rsidRPr="00810820" w:rsidRDefault="00C32DCD" w:rsidP="00742ED1">
            <w:pPr>
              <w:pStyle w:val="Akapitzlist"/>
              <w:suppressAutoHyphens w:val="0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pacing w:val="-5"/>
                <w:sz w:val="20"/>
                <w:szCs w:val="20"/>
              </w:rPr>
              <w:t xml:space="preserve">ćwiczenia </w:t>
            </w:r>
            <w:r>
              <w:rPr>
                <w:rFonts w:cs="Times New Roman"/>
                <w:b/>
                <w:bCs/>
                <w:color w:val="auto"/>
                <w:spacing w:val="-5"/>
                <w:sz w:val="20"/>
                <w:szCs w:val="20"/>
              </w:rPr>
              <w:t>©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32AFC">
              <w:rPr>
                <w:rFonts w:cs="Times New Roman"/>
                <w:color w:val="auto"/>
                <w:sz w:val="20"/>
                <w:szCs w:val="20"/>
              </w:rPr>
              <w:t>Opanowanie treści programowych na poziomie podstawowym.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Odpowiedzi chaotyczne, niespójne; konieczne pytania naprowadzające.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Trudności w analizie prostych przypadków klinicznych.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Wykonywanie czynności praktycznych wymaga stałego nadzoru.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Popełnia błędy techniczne i proceduralne, wymaga częstych korekt.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Nie zawsze potrafi właściwie ocenić stan pacjenta lub priorytety postępowania.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Komunikacja z pacjentem i zespołem niepewna lub niewystarczająca.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E32AFC">
              <w:rPr>
                <w:rFonts w:cs="Times New Roman"/>
                <w:color w:val="auto"/>
                <w:sz w:val="20"/>
                <w:szCs w:val="20"/>
              </w:rPr>
              <w:t>Przestrzeganie zasad bezpieczeństwa i etyki – nieregularne.</w:t>
            </w:r>
          </w:p>
        </w:tc>
      </w:tr>
      <w:tr w:rsidR="00C32DCD" w:rsidRPr="00810820" w:rsidTr="00742ED1">
        <w:trPr>
          <w:trHeight w:val="330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E6317">
              <w:rPr>
                <w:rFonts w:cs="Times New Roman"/>
                <w:color w:val="auto"/>
                <w:sz w:val="20"/>
                <w:szCs w:val="20"/>
              </w:rPr>
              <w:t>Opanowanie treści programowych na poziomie podstawowym.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Odpowiedzi usystematyzowane, ale student wymaga pomocy nauczyciela.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Potrafi wykonać proste czynności praktyczne, lecz potrzebuje wskazówek.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Rozumie podstawowe zasady postępowania neurochirurgicznego, ale nie zawsze stosuje je samodzielnie.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Komunikacja poprawna, choć nie w pełni swobodna.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Zachowuje podstawowe zasady bezpieczeństwa pracy z pacjentem.</w:t>
            </w:r>
          </w:p>
        </w:tc>
      </w:tr>
      <w:tr w:rsidR="00C32DCD" w:rsidRPr="00810820" w:rsidTr="00742ED1">
        <w:trPr>
          <w:trHeight w:val="494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E6317">
              <w:rPr>
                <w:rFonts w:cs="Times New Roman"/>
                <w:color w:val="auto"/>
                <w:sz w:val="20"/>
                <w:szCs w:val="20"/>
              </w:rPr>
              <w:t>Opanowanie treści programowych na poziomie podstawowym.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Odpowiedzi usystematyzowane, poprawne i samodzielne.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Potrafi rozwiązywać problemy w typowych sytuacjach klinicznych.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Wykonuje podstawowe czynności praktyczne poprawnie i bezpiecznie.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Rozumie znaczenie poszczególnych etapów badania neurologicznego i neurochirurgicznego.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Komunikacja z pacjentem i zespołem jest jasna i adekwatna.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CE6317">
              <w:rPr>
                <w:rFonts w:cs="Times New Roman"/>
                <w:color w:val="auto"/>
                <w:sz w:val="20"/>
                <w:szCs w:val="20"/>
              </w:rPr>
              <w:t>Przestrzega zasad etyki i bezpieczeństwa.</w:t>
            </w:r>
          </w:p>
        </w:tc>
      </w:tr>
      <w:tr w:rsidR="00C32DCD" w:rsidRPr="00810820" w:rsidTr="00742ED1">
        <w:trPr>
          <w:trHeight w:val="393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4,5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C3B3B">
              <w:rPr>
                <w:rFonts w:cs="Times New Roman"/>
                <w:color w:val="auto"/>
                <w:sz w:val="20"/>
                <w:szCs w:val="20"/>
              </w:rPr>
              <w:t>Wiedza wykracza poza poziom podstawowy, w oparciu o podane piśmiennictwo uzupełniające.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C3B3B">
              <w:rPr>
                <w:rFonts w:cs="Times New Roman"/>
                <w:color w:val="auto"/>
                <w:sz w:val="20"/>
                <w:szCs w:val="20"/>
              </w:rPr>
              <w:t>Potrafi rozwiązywać problemy w sytuacjach nowych i złożonych.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W</w:t>
            </w:r>
            <w:r w:rsidRPr="005C3B3B">
              <w:rPr>
                <w:rFonts w:cs="Times New Roman"/>
                <w:color w:val="auto"/>
                <w:sz w:val="20"/>
                <w:szCs w:val="20"/>
              </w:rPr>
              <w:t>ykazuje dobrą orientację w diagnostyce i postępowaniu neurochirurgicznym.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C3B3B">
              <w:rPr>
                <w:rFonts w:cs="Times New Roman"/>
                <w:color w:val="auto"/>
                <w:sz w:val="20"/>
                <w:szCs w:val="20"/>
              </w:rPr>
              <w:t>Wykonuje czynności praktyczne sprawnie, świadomie i z rozumieniem ich znaczenia klinicznego.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C3B3B">
              <w:rPr>
                <w:rFonts w:cs="Times New Roman"/>
                <w:color w:val="auto"/>
                <w:sz w:val="20"/>
                <w:szCs w:val="20"/>
              </w:rPr>
              <w:t>Potrafi samodzielnie analizować przypadki i proponować logiczne rozwiązania.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C3B3B">
              <w:rPr>
                <w:rFonts w:cs="Times New Roman"/>
                <w:color w:val="auto"/>
                <w:sz w:val="20"/>
                <w:szCs w:val="20"/>
              </w:rPr>
              <w:t>Komunikacja profesjonalna, adekwatna do sytuacji klinicznej.</w:t>
            </w:r>
          </w:p>
        </w:tc>
      </w:tr>
      <w:tr w:rsidR="00C32DCD" w:rsidRPr="00810820" w:rsidTr="00742ED1">
        <w:trPr>
          <w:trHeight w:val="330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07BA4">
              <w:rPr>
                <w:rFonts w:cs="Times New Roman"/>
                <w:color w:val="auto"/>
                <w:sz w:val="20"/>
                <w:szCs w:val="20"/>
              </w:rPr>
              <w:t>Wiedza wykracza poza poziom podstawowy, oparta na samodzielnie zdobytych naukowych źródłach informacji.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07BA4">
              <w:rPr>
                <w:rFonts w:cs="Times New Roman"/>
                <w:color w:val="auto"/>
                <w:sz w:val="20"/>
                <w:szCs w:val="20"/>
              </w:rPr>
              <w:t>Wysoka samodzielność w analizie przypadków neurochirurgicznych.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07BA4">
              <w:rPr>
                <w:rFonts w:cs="Times New Roman"/>
                <w:color w:val="auto"/>
                <w:sz w:val="20"/>
                <w:szCs w:val="20"/>
              </w:rPr>
              <w:t>Umiejętność integrowania wiedzy teoretycznej z praktyką na poziomie wyższym niż wymagany.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07BA4">
              <w:rPr>
                <w:rFonts w:cs="Times New Roman"/>
                <w:color w:val="auto"/>
                <w:sz w:val="20"/>
                <w:szCs w:val="20"/>
              </w:rPr>
              <w:t>Trafne, logiczne i bezpieczne decyzje w złożonych sytuacjach klinicznych.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07BA4">
              <w:rPr>
                <w:rFonts w:cs="Times New Roman"/>
                <w:color w:val="auto"/>
                <w:sz w:val="20"/>
                <w:szCs w:val="20"/>
              </w:rPr>
              <w:t>Wykonywanie czynności praktycznych precyzyjne, świadome i zgodne z aktualnymi standardami.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07BA4">
              <w:rPr>
                <w:rFonts w:cs="Times New Roman"/>
                <w:color w:val="auto"/>
                <w:sz w:val="20"/>
                <w:szCs w:val="20"/>
              </w:rPr>
              <w:t>Komunikacja profesjonalna, dojrzała, z poszanowaniem pacjenta i zespołu.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07BA4">
              <w:rPr>
                <w:rFonts w:cs="Times New Roman"/>
                <w:color w:val="auto"/>
                <w:sz w:val="20"/>
                <w:szCs w:val="20"/>
              </w:rPr>
              <w:t>Wysoka kultura pracy, odpowiedzialność i etyczne podejście do pacjenta.</w:t>
            </w:r>
          </w:p>
        </w:tc>
      </w:tr>
      <w:tr w:rsidR="00C32DCD" w:rsidRPr="00810820" w:rsidTr="00742ED1">
        <w:trPr>
          <w:trHeight w:val="313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32DCD" w:rsidRPr="00810820" w:rsidRDefault="00C32DCD" w:rsidP="00742ED1">
            <w:pPr>
              <w:pStyle w:val="Akapitzlist"/>
              <w:suppressAutoHyphens w:val="0"/>
              <w:ind w:left="113" w:right="113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pacing w:val="-5"/>
                <w:sz w:val="20"/>
                <w:szCs w:val="20"/>
              </w:rPr>
              <w:t>Ćwiczenia praktyczne (CP)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pStyle w:val="Akapitzlist"/>
              <w:suppressAutoHyphens w:val="0"/>
              <w:ind w:left="0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46B3E">
              <w:rPr>
                <w:rFonts w:cs="Times New Roman"/>
                <w:color w:val="auto"/>
                <w:sz w:val="20"/>
                <w:szCs w:val="20"/>
              </w:rPr>
              <w:t>Zna podstawowe pojęcia neurochirurgiczne, lecz: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ma trudności z ich praktycznym zastosowaniem,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popełnia częste błędy interpretacyjne,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wymaga stałego nadzoru podczas wykonywania zadań.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Wykonuje czynności techniczne z pomocą nauczyciela; popełnia błędy proceduralne.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Ma trudności w komunikacji z pacjentem oraz zespołem neurochirurgicznym.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Nie zawsze przestrzega zasad etyki zawodowej i standardów postępowania klinicznego.</w:t>
            </w:r>
          </w:p>
        </w:tc>
      </w:tr>
      <w:tr w:rsidR="00C32DCD" w:rsidRPr="00810820" w:rsidTr="00742ED1">
        <w:trPr>
          <w:trHeight w:val="31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3,5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46B3E">
              <w:rPr>
                <w:rFonts w:cs="Times New Roman"/>
                <w:color w:val="auto"/>
                <w:sz w:val="20"/>
                <w:szCs w:val="20"/>
              </w:rPr>
              <w:t>Opanował treści programowe z neurochirurgii na poziomie podstawowym.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 xml:space="preserve">Udziela odpowiedzi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lastRenderedPageBreak/>
              <w:t>usystematyzowanych, jednak: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wymaga wskazówek i wsparcia nauczyciela,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nie zawsze potrafi samodzielnie zastosować wiedzę w praktyce</w:t>
            </w:r>
          </w:p>
        </w:tc>
      </w:tr>
      <w:tr w:rsidR="00C32DCD" w:rsidRPr="00810820" w:rsidTr="00742ED1">
        <w:trPr>
          <w:trHeight w:val="31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46B3E">
              <w:rPr>
                <w:rFonts w:cs="Times New Roman"/>
                <w:color w:val="auto"/>
                <w:sz w:val="20"/>
                <w:szCs w:val="20"/>
              </w:rPr>
              <w:t>Opanował treści programowe na poziomie podstawowym.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Udziela odpowiedzi: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usystematyzowanych,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poprawnych merytorycznie,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samodzielnych.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546B3E">
              <w:rPr>
                <w:rFonts w:cs="Times New Roman"/>
                <w:color w:val="auto"/>
                <w:sz w:val="20"/>
                <w:szCs w:val="20"/>
              </w:rPr>
              <w:t>Potrafi rozwiązywać problemy w typowych sytuacjach klinicznych spotykanych w neurochirurgii.</w:t>
            </w:r>
          </w:p>
        </w:tc>
      </w:tr>
      <w:tr w:rsidR="00C32DCD" w:rsidRPr="00810820" w:rsidTr="00742ED1">
        <w:trPr>
          <w:trHeight w:val="31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4,5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6D06">
              <w:rPr>
                <w:rFonts w:cs="Times New Roman"/>
                <w:color w:val="auto"/>
                <w:sz w:val="20"/>
                <w:szCs w:val="20"/>
              </w:rPr>
              <w:t>Wiedza studenta wykracza poza poziom podstawowy, w oparciu o: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wskazane piśmiennictwo uzupełniające,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dodatkowe materiały dydaktyczne.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Potrafi: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analizować sytuacje kliniczne o podwyższonej złożoności,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rozwiązywać problemy w nowych, nietypowych lub trudnych sytuacjach neurochirurgicznych,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wykazać się rozszerzoną argumentacją kliniczną.</w:t>
            </w:r>
          </w:p>
        </w:tc>
      </w:tr>
      <w:tr w:rsidR="00C32DCD" w:rsidRPr="00810820" w:rsidTr="00742ED1">
        <w:trPr>
          <w:trHeight w:val="317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DCD" w:rsidRPr="00810820" w:rsidRDefault="00C32DCD" w:rsidP="00742ED1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336D06">
              <w:rPr>
                <w:rFonts w:cs="Times New Roman"/>
                <w:color w:val="auto"/>
                <w:sz w:val="20"/>
                <w:szCs w:val="20"/>
              </w:rPr>
              <w:t>Prezentuje wiedzę wykraczającą znacząco poza poziom podstawowy, opartą na: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samodzielnie zdobytych naukowych źródłach informacji,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ab/>
              <w:t>aktualnych publikacjach neurochirurgicznych.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Wykazuje: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wysoki poziom samodzielności,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ab/>
              <w:t>umiejętność krytycznej analizy danych klinicznych,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dojrzałość w interpretacji złożonych przypadków neurochirurgicznych,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336D06">
              <w:rPr>
                <w:rFonts w:cs="Times New Roman"/>
                <w:color w:val="auto"/>
                <w:sz w:val="20"/>
                <w:szCs w:val="20"/>
              </w:rPr>
              <w:t>umiejętność integrowania wiedzy teoretycznej z praktyką.</w:t>
            </w:r>
          </w:p>
        </w:tc>
      </w:tr>
    </w:tbl>
    <w:p w:rsidR="00706F0C" w:rsidRDefault="00706F0C" w:rsidP="004E3222">
      <w:pPr>
        <w:widowControl w:val="0"/>
        <w:jc w:val="center"/>
        <w:rPr>
          <w:color w:val="auto"/>
          <w:sz w:val="18"/>
          <w:szCs w:val="18"/>
        </w:rPr>
      </w:pPr>
    </w:p>
    <w:p w:rsidR="00B1512B" w:rsidRPr="00810820" w:rsidRDefault="00B1512B" w:rsidP="00B1512B">
      <w:pPr>
        <w:rPr>
          <w:color w:val="auto"/>
          <w:sz w:val="18"/>
          <w:szCs w:val="18"/>
        </w:rPr>
      </w:pPr>
      <w:bookmarkStart w:id="0" w:name="_GoBack"/>
      <w:bookmarkEnd w:id="0"/>
    </w:p>
    <w:p w:rsidR="00B1512B" w:rsidRPr="00810820" w:rsidRDefault="00B1512B" w:rsidP="00B1512B">
      <w:pPr>
        <w:pStyle w:val="Akapitzlist"/>
        <w:numPr>
          <w:ilvl w:val="0"/>
          <w:numId w:val="11"/>
        </w:numPr>
        <w:suppressAutoHyphens w:val="0"/>
        <w:rPr>
          <w:b/>
          <w:bCs/>
          <w:color w:val="auto"/>
          <w:sz w:val="20"/>
          <w:szCs w:val="20"/>
        </w:rPr>
      </w:pPr>
      <w:r w:rsidRPr="00810820">
        <w:rPr>
          <w:b/>
          <w:bCs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810820" w:rsidRPr="00810820" w:rsidTr="005B35A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2B" w:rsidRPr="00810820" w:rsidRDefault="00B1512B" w:rsidP="005B35A3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2B" w:rsidRPr="00810820" w:rsidRDefault="00B1512B" w:rsidP="005B35A3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512B" w:rsidRPr="00810820" w:rsidRDefault="00B1512B" w:rsidP="005B35A3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2B" w:rsidRPr="00810820" w:rsidRDefault="00B1512B" w:rsidP="005B35A3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512B" w:rsidRPr="00810820" w:rsidRDefault="00B1512B" w:rsidP="005B35A3">
            <w:pPr>
              <w:jc w:val="center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i/>
                <w:iCs/>
                <w:color w:val="auto"/>
                <w:sz w:val="20"/>
                <w:szCs w:val="20"/>
              </w:rPr>
              <w:t>45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i/>
                <w:iCs/>
                <w:color w:val="auto"/>
                <w:sz w:val="20"/>
                <w:szCs w:val="20"/>
              </w:rPr>
              <w:t>45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2B" w:rsidRPr="00810820" w:rsidRDefault="009C6E6E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color w:val="auto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2B" w:rsidRPr="00810820" w:rsidRDefault="009C6E6E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color w:val="auto"/>
                <w:sz w:val="20"/>
                <w:szCs w:val="20"/>
              </w:rPr>
              <w:t>12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color w:val="auto"/>
                <w:sz w:val="20"/>
                <w:szCs w:val="20"/>
              </w:rPr>
              <w:t>30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Inne (jakie?)*</w:t>
            </w:r>
            <w:r w:rsidR="009C6E6E" w:rsidRPr="00810820">
              <w:rPr>
                <w:rFonts w:cs="Times New Roman"/>
                <w:i/>
                <w:color w:val="auto"/>
                <w:sz w:val="20"/>
                <w:szCs w:val="20"/>
              </w:rPr>
              <w:t xml:space="preserve"> wykład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9C6E6E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9C6E6E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color w:val="auto"/>
                <w:sz w:val="20"/>
                <w:szCs w:val="20"/>
              </w:rPr>
              <w:t>5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rPr>
                <w:rFonts w:cs="Times New Roman"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i/>
                <w:color w:val="auto"/>
                <w:sz w:val="20"/>
                <w:szCs w:val="20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2B" w:rsidRPr="00810820" w:rsidRDefault="00B1512B" w:rsidP="005B35A3">
            <w:pPr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rPr>
                <w:rFonts w:cs="Times New Roman"/>
                <w:b/>
                <w:i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w:rsidR="00810820" w:rsidRPr="00810820" w:rsidTr="005B35A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810820">
              <w:rPr>
                <w:rFonts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B1512B" w:rsidRPr="00810820" w:rsidRDefault="00B1512B" w:rsidP="005B35A3">
            <w:pPr>
              <w:jc w:val="center"/>
              <w:rPr>
                <w:color w:val="auto"/>
                <w:sz w:val="20"/>
                <w:szCs w:val="20"/>
              </w:rPr>
            </w:pPr>
            <w:r w:rsidRPr="00810820">
              <w:rPr>
                <w:rFonts w:eastAsia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:rsidR="00B1512B" w:rsidRPr="00810820" w:rsidRDefault="00B1512B" w:rsidP="00B1512B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auto"/>
          <w:sz w:val="18"/>
          <w:szCs w:val="18"/>
          <w:u w:color="0000FF"/>
        </w:rPr>
      </w:pPr>
    </w:p>
    <w:p w:rsidR="00B1512B" w:rsidRPr="00810820" w:rsidRDefault="00B1512B" w:rsidP="00B1512B">
      <w:pPr>
        <w:rPr>
          <w:color w:val="auto"/>
          <w:sz w:val="18"/>
          <w:szCs w:val="18"/>
        </w:rPr>
      </w:pPr>
    </w:p>
    <w:p w:rsidR="00B1512B" w:rsidRPr="00810820" w:rsidRDefault="00B1512B" w:rsidP="00B1512B">
      <w:pPr>
        <w:widowControl w:val="0"/>
        <w:rPr>
          <w:b/>
          <w:bCs/>
          <w:color w:val="auto"/>
          <w:sz w:val="18"/>
          <w:szCs w:val="18"/>
        </w:rPr>
      </w:pPr>
    </w:p>
    <w:p w:rsidR="00B1512B" w:rsidRPr="00810820" w:rsidRDefault="00B1512B" w:rsidP="00B1512B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auto"/>
          <w:sz w:val="18"/>
          <w:szCs w:val="18"/>
        </w:rPr>
      </w:pPr>
      <w:r w:rsidRPr="00810820">
        <w:rPr>
          <w:b/>
          <w:bCs/>
          <w:i/>
          <w:iCs/>
          <w:color w:val="auto"/>
          <w:sz w:val="18"/>
          <w:szCs w:val="18"/>
        </w:rPr>
        <w:t>Przyjmuję do realizacji</w:t>
      </w:r>
      <w:r w:rsidRPr="00810820">
        <w:rPr>
          <w:i/>
          <w:iCs/>
          <w:color w:val="auto"/>
          <w:sz w:val="18"/>
          <w:szCs w:val="18"/>
        </w:rPr>
        <w:t xml:space="preserve">    (data i podpisy osób prowadzących przedmiot w danym roku akademickim)</w:t>
      </w:r>
    </w:p>
    <w:p w:rsidR="00B1512B" w:rsidRPr="00810820" w:rsidRDefault="00B1512B" w:rsidP="00B1512B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auto"/>
          <w:sz w:val="18"/>
          <w:szCs w:val="18"/>
          <w:u w:color="FF0000"/>
        </w:rPr>
      </w:pPr>
    </w:p>
    <w:p w:rsidR="00B1512B" w:rsidRPr="00810820" w:rsidRDefault="00B1512B" w:rsidP="00B1512B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/>
        <w:rPr>
          <w:i/>
          <w:iCs/>
          <w:color w:val="auto"/>
          <w:sz w:val="18"/>
          <w:szCs w:val="18"/>
          <w:u w:color="FF0000"/>
        </w:rPr>
      </w:pPr>
    </w:p>
    <w:p w:rsidR="00B1512B" w:rsidRPr="00810820" w:rsidRDefault="00B1512B" w:rsidP="00B1512B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/>
        <w:rPr>
          <w:color w:val="auto"/>
          <w:sz w:val="18"/>
          <w:szCs w:val="18"/>
        </w:rPr>
      </w:pPr>
      <w:r w:rsidRPr="00810820">
        <w:rPr>
          <w:i/>
          <w:iCs/>
          <w:color w:val="auto"/>
          <w:sz w:val="18"/>
          <w:szCs w:val="18"/>
          <w:u w:color="FF0000"/>
        </w:rPr>
        <w:tab/>
      </w:r>
      <w:r w:rsidRPr="00810820">
        <w:rPr>
          <w:i/>
          <w:iCs/>
          <w:color w:val="auto"/>
          <w:sz w:val="18"/>
          <w:szCs w:val="18"/>
          <w:u w:color="FF0000"/>
        </w:rPr>
        <w:tab/>
      </w:r>
      <w:r w:rsidRPr="00810820">
        <w:rPr>
          <w:i/>
          <w:iCs/>
          <w:color w:val="auto"/>
          <w:sz w:val="18"/>
          <w:szCs w:val="18"/>
          <w:u w:color="FF0000"/>
        </w:rPr>
        <w:tab/>
      </w:r>
      <w:r w:rsidRPr="00810820">
        <w:rPr>
          <w:i/>
          <w:iCs/>
          <w:color w:val="auto"/>
          <w:sz w:val="18"/>
          <w:szCs w:val="18"/>
        </w:rPr>
        <w:t>............................................................................................................................</w:t>
      </w:r>
    </w:p>
    <w:p w:rsidR="00B1512B" w:rsidRPr="00810820" w:rsidRDefault="00B1512B">
      <w:pPr>
        <w:rPr>
          <w:color w:val="auto"/>
        </w:rPr>
      </w:pPr>
    </w:p>
    <w:sectPr w:rsidR="00B1512B" w:rsidRPr="00810820" w:rsidSect="0056668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0C" w:rsidRDefault="00A4200C">
      <w:r>
        <w:separator/>
      </w:r>
    </w:p>
  </w:endnote>
  <w:endnote w:type="continuationSeparator" w:id="0">
    <w:p w:rsidR="00A4200C" w:rsidRDefault="00A4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3" w:rsidRDefault="005B35A3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0C" w:rsidRDefault="00A4200C">
      <w:r>
        <w:separator/>
      </w:r>
    </w:p>
  </w:footnote>
  <w:footnote w:type="continuationSeparator" w:id="0">
    <w:p w:rsidR="00A4200C" w:rsidRDefault="00A4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5A3" w:rsidRDefault="005B35A3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919B6"/>
    <w:multiLevelType w:val="multilevel"/>
    <w:tmpl w:val="9C4814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8C6732B"/>
    <w:multiLevelType w:val="multilevel"/>
    <w:tmpl w:val="F7869A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7A45E6"/>
    <w:multiLevelType w:val="multilevel"/>
    <w:tmpl w:val="CEB44B00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825FD6"/>
    <w:multiLevelType w:val="hybridMultilevel"/>
    <w:tmpl w:val="EF1E1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1271E"/>
    <w:multiLevelType w:val="multilevel"/>
    <w:tmpl w:val="CE8C60BE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470B50"/>
    <w:multiLevelType w:val="multilevel"/>
    <w:tmpl w:val="DF80C116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226F26"/>
    <w:multiLevelType w:val="multilevel"/>
    <w:tmpl w:val="205CBE94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D596A34"/>
    <w:multiLevelType w:val="multilevel"/>
    <w:tmpl w:val="45F64E2C"/>
    <w:numStyleLink w:val="Zaimportowanystyl2"/>
  </w:abstractNum>
  <w:abstractNum w:abstractNumId="9" w15:restartNumberingAfterBreak="0">
    <w:nsid w:val="618C1407"/>
    <w:multiLevelType w:val="multilevel"/>
    <w:tmpl w:val="28B6283E"/>
    <w:lvl w:ilvl="0">
      <w:start w:val="1"/>
      <w:numFmt w:val="decimal"/>
      <w:lvlText w:val="%1."/>
      <w:lvlJc w:val="left"/>
      <w:pPr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5646806"/>
    <w:multiLevelType w:val="multilevel"/>
    <w:tmpl w:val="FEBE69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1151E1"/>
    <w:multiLevelType w:val="hybridMultilevel"/>
    <w:tmpl w:val="9EE2B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21BF6"/>
    <w:multiLevelType w:val="multilevel"/>
    <w:tmpl w:val="45F64E2C"/>
    <w:styleLink w:val="Zaimportowany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2"/>
    </w:lvlOverride>
  </w:num>
  <w:num w:numId="4">
    <w:abstractNumId w:val="8"/>
    <w:lvlOverride w:ilvl="0">
      <w:startOverride w:val="3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8"/>
    <w:lvlOverride w:ilvl="0">
      <w:startOverride w:val="4"/>
    </w:lvlOverride>
  </w:num>
  <w:num w:numId="11">
    <w:abstractNumId w:val="8"/>
    <w:lvlOverride w:ilvl="0">
      <w:startOverride w:val="5"/>
      <w:lvl w:ilvl="0">
        <w:start w:val="5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</w:num>
  <w:num w:numId="13">
    <w:abstractNumId w:val="11"/>
  </w:num>
  <w:num w:numId="14">
    <w:abstractNumId w:val="1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12B"/>
    <w:rsid w:val="000272E8"/>
    <w:rsid w:val="00061302"/>
    <w:rsid w:val="000A109B"/>
    <w:rsid w:val="000D2743"/>
    <w:rsid w:val="00103568"/>
    <w:rsid w:val="00117E58"/>
    <w:rsid w:val="0014282C"/>
    <w:rsid w:val="0015023B"/>
    <w:rsid w:val="00165FF2"/>
    <w:rsid w:val="0018338B"/>
    <w:rsid w:val="001D7646"/>
    <w:rsid w:val="0022147C"/>
    <w:rsid w:val="00250C61"/>
    <w:rsid w:val="00320F6B"/>
    <w:rsid w:val="003230DA"/>
    <w:rsid w:val="00343A9D"/>
    <w:rsid w:val="003C459A"/>
    <w:rsid w:val="003E09B9"/>
    <w:rsid w:val="0041673C"/>
    <w:rsid w:val="004352B3"/>
    <w:rsid w:val="004910A7"/>
    <w:rsid w:val="004A7EA0"/>
    <w:rsid w:val="004E3222"/>
    <w:rsid w:val="00513309"/>
    <w:rsid w:val="005539D6"/>
    <w:rsid w:val="00566688"/>
    <w:rsid w:val="00590BBA"/>
    <w:rsid w:val="005B35A3"/>
    <w:rsid w:val="005C2591"/>
    <w:rsid w:val="005F7C28"/>
    <w:rsid w:val="006825A6"/>
    <w:rsid w:val="00691E3C"/>
    <w:rsid w:val="006B1E2D"/>
    <w:rsid w:val="00706F0C"/>
    <w:rsid w:val="00810820"/>
    <w:rsid w:val="0081368F"/>
    <w:rsid w:val="00851CDF"/>
    <w:rsid w:val="008F2CD5"/>
    <w:rsid w:val="009278AD"/>
    <w:rsid w:val="009427B5"/>
    <w:rsid w:val="009C6E6E"/>
    <w:rsid w:val="009D073C"/>
    <w:rsid w:val="009F49B9"/>
    <w:rsid w:val="00A132F1"/>
    <w:rsid w:val="00A4200C"/>
    <w:rsid w:val="00A47FAE"/>
    <w:rsid w:val="00A94569"/>
    <w:rsid w:val="00AA6AA2"/>
    <w:rsid w:val="00AF0586"/>
    <w:rsid w:val="00B1512B"/>
    <w:rsid w:val="00B2583F"/>
    <w:rsid w:val="00BA7DB9"/>
    <w:rsid w:val="00BD3DE8"/>
    <w:rsid w:val="00BE0CB2"/>
    <w:rsid w:val="00C32DCD"/>
    <w:rsid w:val="00CF7A36"/>
    <w:rsid w:val="00D00C20"/>
    <w:rsid w:val="00DA261E"/>
    <w:rsid w:val="00E67774"/>
    <w:rsid w:val="00EA0D99"/>
    <w:rsid w:val="00EA5BE8"/>
    <w:rsid w:val="00F23DE6"/>
    <w:rsid w:val="00F25BB8"/>
    <w:rsid w:val="00F30B4C"/>
    <w:rsid w:val="00F8364B"/>
    <w:rsid w:val="00FA2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0F1F265-1AD6-4662-BEC5-1CB4452A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151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Nagwek1">
    <w:name w:val="heading 1"/>
    <w:next w:val="Normalny"/>
    <w:link w:val="Nagwek1Znak"/>
    <w:rsid w:val="00B151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pl-PL"/>
    </w:rPr>
  </w:style>
  <w:style w:type="paragraph" w:styleId="Nagwek2">
    <w:name w:val="heading 2"/>
    <w:next w:val="Normalny"/>
    <w:link w:val="Nagwek2Znak"/>
    <w:rsid w:val="00B1512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512B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pl-PL"/>
    </w:rPr>
  </w:style>
  <w:style w:type="character" w:customStyle="1" w:styleId="Nagwek2Znak">
    <w:name w:val="Nagłówek 2 Znak"/>
    <w:basedOn w:val="Domylnaczcionkaakapitu"/>
    <w:link w:val="Nagwek2"/>
    <w:rsid w:val="00B1512B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val="en-US" w:eastAsia="pl-PL"/>
    </w:rPr>
  </w:style>
  <w:style w:type="table" w:customStyle="1" w:styleId="TableNormal">
    <w:name w:val="Table Normal"/>
    <w:rsid w:val="00B151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1512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numbering" w:customStyle="1" w:styleId="Zaimportowanystyl2">
    <w:name w:val="Zaimportowany styl 2"/>
    <w:rsid w:val="00B1512B"/>
    <w:pPr>
      <w:numPr>
        <w:numId w:val="1"/>
      </w:numPr>
    </w:pPr>
  </w:style>
  <w:style w:type="paragraph" w:styleId="Akapitzlist">
    <w:name w:val="List Paragraph"/>
    <w:rsid w:val="00B151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Bodytext3">
    <w:name w:val="Body text (3)"/>
    <w:rsid w:val="00B1512B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120" w:after="0" w:line="293" w:lineRule="exact"/>
      <w:jc w:val="both"/>
    </w:pPr>
    <w:rPr>
      <w:rFonts w:ascii="Times New Roman" w:eastAsia="Arial Unicode MS" w:hAnsi="Times New Roman" w:cs="Arial Unicode MS"/>
      <w:color w:val="000000"/>
      <w:sz w:val="21"/>
      <w:szCs w:val="21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1035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3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2730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Piotrowicz</cp:lastModifiedBy>
  <cp:revision>20</cp:revision>
  <dcterms:created xsi:type="dcterms:W3CDTF">2025-07-31T11:23:00Z</dcterms:created>
  <dcterms:modified xsi:type="dcterms:W3CDTF">2026-01-08T09:42:00Z</dcterms:modified>
</cp:coreProperties>
</file>